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7673"/>
      </w:tblGrid>
      <w:tr w:rsidR="004B7494" w14:paraId="5791AC46" w14:textId="77777777" w:rsidTr="006167EB">
        <w:trPr>
          <w:trHeight w:val="1351"/>
        </w:trPr>
        <w:tc>
          <w:tcPr>
            <w:tcW w:w="1660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SMT Temel İşlevi: </w:t>
            </w:r>
          </w:p>
        </w:tc>
        <w:tc>
          <w:tcPr>
            <w:tcW w:w="7673" w:type="dxa"/>
            <w:shd w:val="clear" w:color="auto" w:fill="auto"/>
          </w:tcPr>
          <w:p w14:paraId="0699DBCB" w14:textId="3F80961B" w:rsidR="004B7494" w:rsidRPr="00024CC1" w:rsidRDefault="00024CC1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7B4" w:rsidRPr="00024CC1">
              <w:rPr>
                <w:rFonts w:ascii="Times New Roman" w:hAnsi="Times New Roman" w:cs="Times New Roman"/>
                <w:sz w:val="24"/>
                <w:szCs w:val="24"/>
              </w:rPr>
              <w:t>Genel Cerrahi, Jinekoloji, Plastik Cerrahi, Ortopedi</w:t>
            </w:r>
            <w:r w:rsidR="0025400C"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7B4" w:rsidRPr="00024CC1">
              <w:rPr>
                <w:rFonts w:ascii="Times New Roman" w:hAnsi="Times New Roman" w:cs="Times New Roman"/>
                <w:sz w:val="24"/>
                <w:szCs w:val="24"/>
              </w:rPr>
              <w:t>gibi birden fazla branşta açık ve laparo</w:t>
            </w:r>
            <w:r w:rsidR="00D2542A">
              <w:rPr>
                <w:rFonts w:ascii="Times New Roman" w:hAnsi="Times New Roman" w:cs="Times New Roman"/>
                <w:sz w:val="24"/>
                <w:szCs w:val="24"/>
              </w:rPr>
              <w:t>skopik cerrahi ameliyatlarında y</w:t>
            </w:r>
            <w:r w:rsidR="004877B4"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umuşak dokuları düğüm gerektirmeden, hızlı, güvenli ve minimum </w:t>
            </w:r>
            <w:proofErr w:type="spellStart"/>
            <w:r w:rsidR="004877B4" w:rsidRPr="00024CC1">
              <w:rPr>
                <w:rFonts w:ascii="Times New Roman" w:hAnsi="Times New Roman" w:cs="Times New Roman"/>
                <w:sz w:val="24"/>
                <w:szCs w:val="24"/>
              </w:rPr>
              <w:t>scar</w:t>
            </w:r>
            <w:proofErr w:type="spellEnd"/>
            <w:r w:rsidR="004877B4"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ile birleştirip yara kapamayı sağlamak</w:t>
            </w:r>
            <w:r w:rsidR="0025400C"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amacı için tasarlanmış olmalıdır.</w:t>
            </w:r>
          </w:p>
        </w:tc>
      </w:tr>
      <w:tr w:rsidR="004B7494" w14:paraId="48B12155" w14:textId="77777777" w:rsidTr="006167EB">
        <w:trPr>
          <w:trHeight w:val="1640"/>
        </w:trPr>
        <w:tc>
          <w:tcPr>
            <w:tcW w:w="1660" w:type="dxa"/>
          </w:tcPr>
          <w:p w14:paraId="0A8AD5BF" w14:textId="1112D472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sz w:val="24"/>
                <w:szCs w:val="24"/>
              </w:rPr>
              <w:t>SM</w:t>
            </w:r>
            <w:r w:rsidR="004877B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14:paraId="066DB020" w14:textId="4366E9FD" w:rsidR="0025400C" w:rsidRDefault="0025400C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ücuttan toplam emilim (</w:t>
            </w:r>
            <w:proofErr w:type="spellStart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absorbsiyon</w:t>
            </w:r>
            <w:proofErr w:type="spellEnd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) süresi ise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90-1</w:t>
            </w:r>
            <w:r w:rsidR="00DD7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veya </w:t>
            </w:r>
            <w:r w:rsidR="00DB2B91">
              <w:rPr>
                <w:rFonts w:ascii="Times New Roman" w:hAnsi="Times New Roman" w:cs="Times New Roman"/>
                <w:sz w:val="24"/>
                <w:szCs w:val="24"/>
              </w:rPr>
              <w:t>180-240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gün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İhtiyaca göre emilmeyen </w:t>
            </w:r>
            <w:r w:rsidR="00A71707">
              <w:rPr>
                <w:rFonts w:ascii="Times New Roman" w:hAnsi="Times New Roman" w:cs="Times New Roman"/>
                <w:sz w:val="24"/>
                <w:szCs w:val="24"/>
              </w:rPr>
              <w:t>türde de çeşitleri olmalıdır.</w:t>
            </w:r>
          </w:p>
          <w:p w14:paraId="5F78DF7A" w14:textId="41D6F5AA" w:rsidR="00513650" w:rsidRDefault="00513650" w:rsidP="00513650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iğne çap ölçüleri 1/2- 3/8- 5/8 arasında farklı öl</w:t>
            </w:r>
            <w:r w:rsidR="00DB2B91">
              <w:rPr>
                <w:rFonts w:ascii="Times New Roman" w:hAnsi="Times New Roman" w:cs="Times New Roman"/>
                <w:sz w:val="24"/>
                <w:szCs w:val="24"/>
              </w:rPr>
              <w:t xml:space="preserve">çüleri bulunmalı ve iplik boy 14 </w:t>
            </w:r>
            <w:proofErr w:type="gramStart"/>
            <w:r w:rsidR="00DB2B91">
              <w:rPr>
                <w:rFonts w:ascii="Times New Roman" w:hAnsi="Times New Roman" w:cs="Times New Roman"/>
                <w:sz w:val="24"/>
                <w:szCs w:val="24"/>
              </w:rPr>
              <w:t>cm -</w:t>
            </w:r>
            <w:proofErr w:type="gramEnd"/>
            <w:r w:rsidR="00DB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cm arasında farklı seçeneklerinden herhangi biri olmalıdır.</w:t>
            </w:r>
          </w:p>
          <w:p w14:paraId="548102CD" w14:textId="222FFA13" w:rsidR="00024CC1" w:rsidRPr="00995F39" w:rsidRDefault="00024CC1" w:rsidP="00024CC1">
            <w:pPr>
              <w:pStyle w:val="AralkYok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Sentetik </w:t>
            </w:r>
            <w:proofErr w:type="spellStart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>monoflament</w:t>
            </w:r>
            <w:proofErr w:type="spellEnd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olan cerrahi iplik </w:t>
            </w:r>
            <w:proofErr w:type="spellStart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>Polygliconate</w:t>
            </w:r>
            <w:proofErr w:type="spellEnd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>Glycomer</w:t>
            </w:r>
            <w:proofErr w:type="spellEnd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631/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Polybutester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glikolid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  e-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kaprolakton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yardımcı polimerinden</w:t>
            </w:r>
            <w:r w:rsidR="00995F39" w:rsidRPr="00616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95F39" w:rsidRPr="006167EB">
              <w:rPr>
                <w:rFonts w:ascii="Times New Roman" w:hAnsi="Times New Roman"/>
                <w:bCs/>
                <w:sz w:val="24"/>
                <w:szCs w:val="24"/>
              </w:rPr>
              <w:t xml:space="preserve">veya </w:t>
            </w:r>
            <w:proofErr w:type="spellStart"/>
            <w:r w:rsidR="00995F39" w:rsidRPr="006167EB">
              <w:rPr>
                <w:rFonts w:ascii="Times New Roman" w:hAnsi="Times New Roman"/>
                <w:bCs/>
                <w:sz w:val="24"/>
                <w:szCs w:val="24"/>
              </w:rPr>
              <w:t>monocryl</w:t>
            </w:r>
            <w:proofErr w:type="spellEnd"/>
            <w:r w:rsidR="00995F39" w:rsidRPr="00995F39">
              <w:rPr>
                <w:rFonts w:ascii="Times New Roman" w:hAnsi="Times New Roman"/>
                <w:bCs/>
                <w:sz w:val="24"/>
                <w:szCs w:val="24"/>
              </w:rPr>
              <w:t xml:space="preserve"> veya </w:t>
            </w:r>
            <w:proofErr w:type="spellStart"/>
            <w:r w:rsidR="006167EB" w:rsidRPr="00995F39">
              <w:rPr>
                <w:rFonts w:ascii="Times New Roman" w:hAnsi="Times New Roman"/>
                <w:bCs/>
                <w:sz w:val="24"/>
                <w:szCs w:val="24"/>
              </w:rPr>
              <w:t>polidioksanon</w:t>
            </w:r>
            <w:proofErr w:type="spellEnd"/>
            <w:r w:rsidR="00995F39" w:rsidRPr="00995F39">
              <w:rPr>
                <w:rFonts w:ascii="Times New Roman" w:hAnsi="Times New Roman"/>
                <w:bCs/>
                <w:sz w:val="24"/>
                <w:szCs w:val="24"/>
              </w:rPr>
              <w:t xml:space="preserve"> veya PDO veya PGA-PCL veya </w:t>
            </w:r>
            <w:proofErr w:type="spellStart"/>
            <w:r w:rsidR="00995F39" w:rsidRPr="00995F39">
              <w:rPr>
                <w:rFonts w:ascii="Times New Roman" w:hAnsi="Times New Roman"/>
                <w:bCs/>
                <w:sz w:val="24"/>
                <w:szCs w:val="24"/>
              </w:rPr>
              <w:t>prolen</w:t>
            </w:r>
            <w:proofErr w:type="spellEnd"/>
            <w:r w:rsidR="00995F39" w:rsidRPr="00995F39">
              <w:rPr>
                <w:rFonts w:ascii="Times New Roman" w:hAnsi="Times New Roman"/>
                <w:bCs/>
                <w:sz w:val="24"/>
                <w:szCs w:val="24"/>
              </w:rPr>
              <w:t xml:space="preserve"> polimerlerinden oluşmalıdır</w:t>
            </w:r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D8E40A" w14:textId="6426F610" w:rsidR="00757119" w:rsidRPr="00024CC1" w:rsidRDefault="00757119" w:rsidP="00757119">
            <w:pPr>
              <w:pStyle w:val="AralkYok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9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119">
              <w:rPr>
                <w:rFonts w:ascii="Times New Roman" w:hAnsi="Times New Roman" w:cs="Times New Roman"/>
                <w:sz w:val="24"/>
                <w:szCs w:val="24"/>
              </w:rPr>
              <w:t>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B7494" w14:paraId="2F1E0A46" w14:textId="77777777" w:rsidTr="006167EB">
        <w:trPr>
          <w:trHeight w:val="1640"/>
        </w:trPr>
        <w:tc>
          <w:tcPr>
            <w:tcW w:w="1660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14:paraId="546B103C" w14:textId="077ECCA6" w:rsidR="004877B4" w:rsidRPr="001579F4" w:rsidRDefault="004877B4" w:rsidP="00995F3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Bir ucunda cerrahi iğne diğer ucunda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loop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şeklinde emilebilir halka </w:t>
            </w:r>
            <w:r w:rsidR="0025400C" w:rsidRPr="00995F39">
              <w:rPr>
                <w:rFonts w:ascii="Times New Roman" w:hAnsi="Times New Roman" w:cs="Times New Roman"/>
                <w:sz w:val="24"/>
                <w:szCs w:val="24"/>
              </w:rPr>
              <w:t>uçtan</w:t>
            </w:r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oluşmalıdır. Halka uç ve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loop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tasarımı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aproksimasyon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sırasında düğüme gerek kalmadan yakla</w:t>
            </w:r>
            <w:r w:rsidR="00D2542A">
              <w:rPr>
                <w:rFonts w:ascii="Times New Roman" w:hAnsi="Times New Roman" w:cs="Times New Roman"/>
                <w:sz w:val="24"/>
                <w:szCs w:val="24"/>
              </w:rPr>
              <w:t xml:space="preserve">ştırmasına izin vermelidir. </w:t>
            </w:r>
            <w:proofErr w:type="spellStart"/>
            <w:r w:rsidR="00D2542A">
              <w:rPr>
                <w:rFonts w:ascii="Times New Roman" w:hAnsi="Times New Roman" w:cs="Times New Roman"/>
                <w:sz w:val="24"/>
                <w:szCs w:val="24"/>
              </w:rPr>
              <w:t>Süturu</w:t>
            </w:r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etrafını saran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barbları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dokuya eşit miktarda tutunmasını sağlamalı böylece gerilimi eşit yaymalıd</w:t>
            </w:r>
            <w:r w:rsidR="00D2542A">
              <w:rPr>
                <w:rFonts w:ascii="Times New Roman" w:hAnsi="Times New Roman" w:cs="Times New Roman"/>
                <w:sz w:val="24"/>
                <w:szCs w:val="24"/>
              </w:rPr>
              <w:t xml:space="preserve">ır. </w:t>
            </w:r>
            <w:proofErr w:type="spellStart"/>
            <w:r w:rsidR="00D2542A">
              <w:rPr>
                <w:rFonts w:ascii="Times New Roman" w:hAnsi="Times New Roman" w:cs="Times New Roman"/>
                <w:sz w:val="24"/>
                <w:szCs w:val="24"/>
              </w:rPr>
              <w:t>Sütu</w:t>
            </w:r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hattı üzerindeki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barb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tasarımı açılı halde olmalıdır.</w:t>
            </w:r>
            <w:r w:rsidR="001579F4">
              <w:rPr>
                <w:rFonts w:ascii="Times New Roman" w:hAnsi="Times New Roman" w:cs="Times New Roman"/>
                <w:sz w:val="24"/>
                <w:szCs w:val="24"/>
              </w:rPr>
              <w:t xml:space="preserve"> Veya çift iğneli ürünlerde sabitleme ve kolay işlem yapabilmek adına ürünün orta noktasında uygun ölçüde boşluk bulunmalıdır.</w:t>
            </w:r>
          </w:p>
          <w:p w14:paraId="02DE61D9" w14:textId="285C7562" w:rsidR="001579F4" w:rsidRDefault="001579F4" w:rsidP="001579F4">
            <w:pPr>
              <w:pStyle w:val="ListeParagraf"/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10093E" w14:textId="483F7BCB" w:rsidR="001579F4" w:rsidRDefault="001579F4" w:rsidP="001579F4">
            <w:pPr>
              <w:pStyle w:val="ListeParagraf"/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7D06B8" w14:textId="457790DE" w:rsidR="001579F4" w:rsidRDefault="001579F4" w:rsidP="001579F4">
            <w:pPr>
              <w:pStyle w:val="ListeParagraf"/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FD6E31" w14:textId="1379039A" w:rsidR="001579F4" w:rsidRDefault="001579F4" w:rsidP="001579F4">
            <w:pPr>
              <w:pStyle w:val="ListeParagraf"/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8BEE75" w14:textId="77777777" w:rsidR="001579F4" w:rsidRPr="00995F39" w:rsidRDefault="001579F4" w:rsidP="001579F4">
            <w:pPr>
              <w:pStyle w:val="ListeParagraf"/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DD0961" w14:textId="77777777" w:rsidR="004877B4" w:rsidRPr="004877B4" w:rsidRDefault="004877B4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Doku geçişlerinde travma oluşmaması için iğne iç yüzeyi düz, pürüzsüz olmalıdır.</w:t>
            </w:r>
          </w:p>
          <w:p w14:paraId="79BD9A83" w14:textId="29CF4F9A" w:rsidR="004877B4" w:rsidRPr="004877B4" w:rsidRDefault="004877B4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Operasyon boyunca iğneler dokudan çok rahat geçmeli, güçlü olmalı, iğnenin silikon ile kaplı olduğu </w:t>
            </w:r>
            <w:r w:rsidR="0025400C" w:rsidRPr="004877B4">
              <w:rPr>
                <w:rFonts w:ascii="Times New Roman" w:hAnsi="Times New Roman" w:cs="Times New Roman"/>
                <w:sz w:val="24"/>
                <w:szCs w:val="24"/>
              </w:rPr>
              <w:t>belgelendirilmelidir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DD9058" w14:textId="6667BE3D" w:rsidR="004877B4" w:rsidRPr="004877B4" w:rsidRDefault="004877B4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İğne, keskinliğini / sivriliğini, operasyon sonuna kadar sürdürmeli, kırılmaya, eğilmeye ve bükülmeye karşı dirençli olması için iğne çelik alaşımı </w:t>
            </w:r>
            <w:r w:rsidR="00DD7D14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43F76A71" w14:textId="769A2384" w:rsidR="004877B4" w:rsidRPr="004877B4" w:rsidRDefault="004877B4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İğne gövdesi, dokulardan geçerken </w:t>
            </w:r>
            <w:proofErr w:type="spellStart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167E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tegüde</w:t>
            </w:r>
            <w:proofErr w:type="spellEnd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stabil kalmalı ve diğer dokulara zarar vermeyi önleyecek şekilde dizayn edilmiş olmalıdır.</w:t>
            </w:r>
          </w:p>
          <w:p w14:paraId="05BB4F3D" w14:textId="57B69F3F" w:rsidR="004877B4" w:rsidRPr="004877B4" w:rsidRDefault="004877B4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İğne / </w:t>
            </w:r>
            <w:r w:rsidR="006167EB">
              <w:rPr>
                <w:rFonts w:ascii="Times New Roman" w:hAnsi="Times New Roman" w:cs="Times New Roman"/>
                <w:sz w:val="24"/>
                <w:szCs w:val="24"/>
              </w:rPr>
              <w:t>materyal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çapı uyumlu olmalı, bu sayede iğne dokulardan geçerken travma oluşturmamalıdır. İğne ile </w:t>
            </w:r>
            <w:r w:rsidR="00A71707">
              <w:rPr>
                <w:rFonts w:ascii="Times New Roman" w:hAnsi="Times New Roman" w:cs="Times New Roman"/>
                <w:sz w:val="24"/>
                <w:szCs w:val="24"/>
              </w:rPr>
              <w:t xml:space="preserve">materyal </w:t>
            </w:r>
            <w:r w:rsidR="00A71707" w:rsidRPr="004877B4">
              <w:rPr>
                <w:rFonts w:ascii="Times New Roman" w:hAnsi="Times New Roman" w:cs="Times New Roman"/>
                <w:sz w:val="24"/>
                <w:szCs w:val="24"/>
              </w:rPr>
              <w:t>birleşim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noktası bağlantısı sağlam olmalıdır.</w:t>
            </w:r>
          </w:p>
          <w:p w14:paraId="7DDB96FF" w14:textId="17FFDC56" w:rsidR="004877B4" w:rsidRPr="004877B4" w:rsidRDefault="004877B4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İğne </w:t>
            </w:r>
            <w:r w:rsidR="00A71707">
              <w:rPr>
                <w:rFonts w:ascii="Times New Roman" w:hAnsi="Times New Roman" w:cs="Times New Roman"/>
                <w:sz w:val="24"/>
                <w:szCs w:val="24"/>
              </w:rPr>
              <w:t>materyal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birleşiminde </w:t>
            </w:r>
            <w:r w:rsidR="006167EB" w:rsidRPr="004877B4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drill</w:t>
            </w:r>
            <w:proofErr w:type="spellEnd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veya lazer teknolojisi kullanılmış </w:t>
            </w:r>
            <w:r w:rsidR="0025400C" w:rsidRPr="004877B4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3CAB8C" w14:textId="1D1F0DCF" w:rsidR="004877B4" w:rsidRPr="004877B4" w:rsidRDefault="00A93097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Materyal</w:t>
            </w:r>
            <w:r w:rsidR="004877B4"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paketinden çıkarıldığında minimum paket hafızasına sahip olmalıdır.</w:t>
            </w:r>
          </w:p>
          <w:p w14:paraId="6E8DFDE3" w14:textId="77777777" w:rsidR="004877B4" w:rsidRPr="004877B4" w:rsidRDefault="004877B4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Ambalaj açılımı kolay ve çabuk kullanıma uygun olmalı, iç karton veya plastik makara </w:t>
            </w:r>
            <w:proofErr w:type="spellStart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portegü</w:t>
            </w:r>
            <w:proofErr w:type="spellEnd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veya herhangi başka bir alet gerektirmeden kolayca mayo masasına bırakılabilmeli ve iğneye </w:t>
            </w:r>
            <w:proofErr w:type="spellStart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portegü</w:t>
            </w:r>
            <w:proofErr w:type="spellEnd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ile kolay ulaşılabilmelidir.</w:t>
            </w:r>
          </w:p>
          <w:p w14:paraId="3FBD7402" w14:textId="4B3B5499" w:rsidR="004877B4" w:rsidRPr="00A71707" w:rsidRDefault="004877B4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İğneler paslanmaz çe</w:t>
            </w:r>
            <w:r w:rsidR="00D2542A">
              <w:rPr>
                <w:rFonts w:ascii="Times New Roman" w:hAnsi="Times New Roman" w:cs="Times New Roman"/>
                <w:sz w:val="24"/>
                <w:szCs w:val="24"/>
              </w:rPr>
              <w:t>likten imal edilmiş olmalıdır v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e iğnenin dayanıklılığının sağlanması için alaşımının içerisinde en az % </w:t>
            </w:r>
            <w:proofErr w:type="gramStart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7.5 -</w:t>
            </w:r>
            <w:proofErr w:type="gramEnd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% 9.5 arası Nikel</w:t>
            </w:r>
            <w:r w:rsidR="00024CC1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Krom oranı en az % 10 olmalıdır ve bu oranlar iğne üreticisi tarafından belgelenmelidir.</w:t>
            </w:r>
          </w:p>
          <w:p w14:paraId="1B15D1CB" w14:textId="5DEDDF2D" w:rsidR="00195FEB" w:rsidRPr="00A71707" w:rsidRDefault="00195FEB" w:rsidP="00024CC1">
            <w:pPr>
              <w:pStyle w:val="ListeParagraf"/>
              <w:spacing w:before="120" w:after="12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6167EB">
        <w:trPr>
          <w:trHeight w:val="1640"/>
        </w:trPr>
        <w:tc>
          <w:tcPr>
            <w:tcW w:w="1660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14:paraId="1D8EDD74" w14:textId="769DB3DB" w:rsidR="0025400C" w:rsidRDefault="0025400C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İğne cinsi, iğne adedi ve iğne boyu (mm olarak),</w:t>
            </w:r>
            <w:r w:rsidR="0054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4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4355D">
              <w:rPr>
                <w:rFonts w:ascii="Times New Roman" w:hAnsi="Times New Roman" w:cs="Times New Roman"/>
                <w:sz w:val="24"/>
                <w:szCs w:val="24"/>
              </w:rPr>
              <w:t xml:space="preserve">on kullanma tarihi, sterilizasyon şekli, lot numarası, </w:t>
            </w:r>
            <w:r w:rsidR="00A93097" w:rsidRPr="0054355D">
              <w:rPr>
                <w:rFonts w:ascii="Times New Roman" w:hAnsi="Times New Roman" w:cs="Times New Roman"/>
                <w:sz w:val="24"/>
                <w:szCs w:val="24"/>
              </w:rPr>
              <w:t>kalınlığı, uzunluğu, uluslararası</w:t>
            </w:r>
            <w:r w:rsidRPr="0054355D">
              <w:rPr>
                <w:rFonts w:ascii="Times New Roman" w:hAnsi="Times New Roman" w:cs="Times New Roman"/>
                <w:sz w:val="24"/>
                <w:szCs w:val="24"/>
              </w:rPr>
              <w:t xml:space="preserve"> renk kodu, 1/1 oranında iğne büyüklüğü ve diğer özellikleri görülebilir tarzda okunaklı ve bozulmayacak tarzda belirtilmelidir</w:t>
            </w:r>
          </w:p>
          <w:p w14:paraId="3A2CFE98" w14:textId="332BF651" w:rsidR="00024CC1" w:rsidRDefault="00024CC1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Kalınlıkları, düğüm atma kabiliyetleri ve iğne iplik kombinasyonları USP ve Avrupa </w:t>
            </w:r>
            <w:proofErr w:type="spellStart"/>
            <w:r w:rsidR="006167EB" w:rsidRPr="004877B4">
              <w:rPr>
                <w:rFonts w:ascii="Times New Roman" w:hAnsi="Times New Roman" w:cs="Times New Roman"/>
                <w:sz w:val="24"/>
                <w:szCs w:val="24"/>
              </w:rPr>
              <w:t>Farmakopesi</w:t>
            </w:r>
            <w:proofErr w:type="spellEnd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7EB" w:rsidRPr="004877B4">
              <w:rPr>
                <w:rFonts w:ascii="Times New Roman" w:hAnsi="Times New Roman" w:cs="Times New Roman"/>
                <w:sz w:val="24"/>
                <w:szCs w:val="24"/>
              </w:rPr>
              <w:t>standartlarına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uygun olmalıdır.</w:t>
            </w:r>
          </w:p>
          <w:p w14:paraId="256BF89A" w14:textId="77777777" w:rsidR="00024CC1" w:rsidRPr="0054355D" w:rsidRDefault="00024CC1" w:rsidP="00024CC1">
            <w:pPr>
              <w:pStyle w:val="ListeParagraf"/>
              <w:spacing w:before="120" w:after="12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54DC5" w14:textId="389D5E49" w:rsidR="0025400C" w:rsidRPr="004877B4" w:rsidRDefault="0025400C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12 adet ürün içeren kutularda ambalajlanmış olmalı, kutu içerisinde birim ambalajdan kaç adet olduğu belirtilmelidir.  Lot ve katalog referans numarası olmalıdır. </w:t>
            </w:r>
          </w:p>
          <w:p w14:paraId="0F6461A4" w14:textId="77777777" w:rsidR="00A71707" w:rsidRPr="004877B4" w:rsidRDefault="00A71707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Her kutu içerisinde Türkçe açıklamalı ürün Prospektüsü bulunmalıdır.</w:t>
            </w:r>
          </w:p>
          <w:p w14:paraId="5844EEAD" w14:textId="3662ED44" w:rsidR="0025400C" w:rsidRDefault="00A71707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Ürünler en az 2 yıl miadı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teslim aşamasında kullanım süresinin 3/2 doldurmamış olmalıdır.</w:t>
            </w:r>
          </w:p>
          <w:p w14:paraId="0C35093F" w14:textId="47CA5578" w:rsidR="00A71707" w:rsidRDefault="00A71707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Firma, kullanılmamış ürünlerin miadının dolmasına 3 ay kala ürün değişimini </w:t>
            </w:r>
            <w:r w:rsidR="006167EB" w:rsidRPr="004877B4">
              <w:rPr>
                <w:rFonts w:ascii="Times New Roman" w:hAnsi="Times New Roman" w:cs="Times New Roman"/>
                <w:sz w:val="24"/>
                <w:szCs w:val="24"/>
              </w:rPr>
              <w:t>taahhüt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edecektir.</w:t>
            </w:r>
          </w:p>
          <w:p w14:paraId="6AD79511" w14:textId="33C8C3C5" w:rsidR="00A71707" w:rsidRPr="004877B4" w:rsidRDefault="00A71707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Ürünler Etilen Oksit ile </w:t>
            </w:r>
            <w:r w:rsidR="006167EB" w:rsidRPr="004877B4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edilmiş olmalıdır.</w:t>
            </w:r>
          </w:p>
          <w:p w14:paraId="37AE1935" w14:textId="77777777" w:rsidR="00A71707" w:rsidRPr="004877B4" w:rsidRDefault="00A71707" w:rsidP="00024CC1">
            <w:pPr>
              <w:pStyle w:val="ListeParagraf"/>
              <w:spacing w:before="120" w:after="12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3529" w14:textId="693A8BA6" w:rsidR="00195FEB" w:rsidRPr="004B7494" w:rsidRDefault="00195FEB" w:rsidP="00024CC1">
            <w:pPr>
              <w:pStyle w:val="ListeParagraf"/>
              <w:spacing w:before="120" w:after="12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7B14F" w14:textId="77777777" w:rsidR="00515E05" w:rsidRDefault="00515E05" w:rsidP="004877B4">
      <w:pPr>
        <w:spacing w:after="0" w:line="240" w:lineRule="auto"/>
      </w:pPr>
      <w:r>
        <w:separator/>
      </w:r>
    </w:p>
  </w:endnote>
  <w:endnote w:type="continuationSeparator" w:id="0">
    <w:p w14:paraId="387FC2D1" w14:textId="77777777" w:rsidR="00515E05" w:rsidRDefault="00515E05" w:rsidP="0048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B6940" w14:textId="77777777" w:rsidR="00513650" w:rsidRDefault="005136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9E975" w14:textId="77777777" w:rsidR="00513650" w:rsidRDefault="005136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47486" w14:textId="77777777" w:rsidR="00513650" w:rsidRDefault="005136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A6C54" w14:textId="77777777" w:rsidR="00515E05" w:rsidRDefault="00515E05" w:rsidP="004877B4">
      <w:pPr>
        <w:spacing w:after="0" w:line="240" w:lineRule="auto"/>
      </w:pPr>
      <w:r>
        <w:separator/>
      </w:r>
    </w:p>
  </w:footnote>
  <w:footnote w:type="continuationSeparator" w:id="0">
    <w:p w14:paraId="5C069999" w14:textId="77777777" w:rsidR="00515E05" w:rsidRDefault="00515E05" w:rsidP="0048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04DB7" w14:textId="77777777" w:rsidR="00513650" w:rsidRDefault="005136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55F5B" w14:textId="2C8A5B5E" w:rsidR="0025400C" w:rsidRPr="00531DE1" w:rsidRDefault="00727D01" w:rsidP="0025400C">
    <w:pPr>
      <w:pStyle w:val="Balk1"/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</w:pPr>
    <w:r w:rsidRPr="00531DE1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 xml:space="preserve">SMT4020 </w:t>
    </w:r>
    <w:r w:rsidRPr="00531DE1">
      <w:rPr>
        <w:rFonts w:ascii="Times New Roman" w:hAnsi="Times New Roman" w:cs="Times New Roman"/>
        <w:b/>
        <w:bCs/>
        <w:smallCaps w:val="0"/>
        <w:color w:val="343434"/>
        <w:spacing w:val="0"/>
        <w:sz w:val="24"/>
        <w:szCs w:val="24"/>
        <w:shd w:val="clear" w:color="auto" w:fill="FFFFFF"/>
      </w:rPr>
      <w:t>YARA KAPATMA MATERYALİ, </w:t>
    </w:r>
    <w:r w:rsidRPr="00531DE1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DÜĞÜMSÜZ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FA893" w14:textId="77777777" w:rsidR="00513650" w:rsidRDefault="005136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D6FAEC3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86DFC"/>
    <w:multiLevelType w:val="multilevel"/>
    <w:tmpl w:val="7C58DA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93E5A45"/>
    <w:multiLevelType w:val="hybridMultilevel"/>
    <w:tmpl w:val="B3FC58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44FA8"/>
    <w:multiLevelType w:val="hybridMultilevel"/>
    <w:tmpl w:val="530C57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27A3"/>
    <w:rsid w:val="00024CC1"/>
    <w:rsid w:val="000D04A5"/>
    <w:rsid w:val="000D7ACE"/>
    <w:rsid w:val="00104579"/>
    <w:rsid w:val="001548B5"/>
    <w:rsid w:val="001579F4"/>
    <w:rsid w:val="00195FEB"/>
    <w:rsid w:val="001C0974"/>
    <w:rsid w:val="001F4B33"/>
    <w:rsid w:val="0025400C"/>
    <w:rsid w:val="002618E3"/>
    <w:rsid w:val="002B66F4"/>
    <w:rsid w:val="002D55E1"/>
    <w:rsid w:val="00331203"/>
    <w:rsid w:val="003D0648"/>
    <w:rsid w:val="004877B4"/>
    <w:rsid w:val="0049120E"/>
    <w:rsid w:val="004B5A29"/>
    <w:rsid w:val="004B7494"/>
    <w:rsid w:val="0050473A"/>
    <w:rsid w:val="00513650"/>
    <w:rsid w:val="00515E05"/>
    <w:rsid w:val="00531DE1"/>
    <w:rsid w:val="0054355D"/>
    <w:rsid w:val="005D5F44"/>
    <w:rsid w:val="005F23D5"/>
    <w:rsid w:val="006167EB"/>
    <w:rsid w:val="006446EA"/>
    <w:rsid w:val="006C2B6A"/>
    <w:rsid w:val="006C2CEE"/>
    <w:rsid w:val="006C3574"/>
    <w:rsid w:val="00710247"/>
    <w:rsid w:val="00727D01"/>
    <w:rsid w:val="00757119"/>
    <w:rsid w:val="007A1FF1"/>
    <w:rsid w:val="007E4EBA"/>
    <w:rsid w:val="008C1217"/>
    <w:rsid w:val="008C2583"/>
    <w:rsid w:val="008D238C"/>
    <w:rsid w:val="00936492"/>
    <w:rsid w:val="00995F39"/>
    <w:rsid w:val="009D5E87"/>
    <w:rsid w:val="00A0594E"/>
    <w:rsid w:val="00A70749"/>
    <w:rsid w:val="00A71707"/>
    <w:rsid w:val="00A76582"/>
    <w:rsid w:val="00A93097"/>
    <w:rsid w:val="00BA3150"/>
    <w:rsid w:val="00BC6302"/>
    <w:rsid w:val="00BD6076"/>
    <w:rsid w:val="00BE27ED"/>
    <w:rsid w:val="00BF4EE4"/>
    <w:rsid w:val="00BF5AAE"/>
    <w:rsid w:val="00C61822"/>
    <w:rsid w:val="00CF5D26"/>
    <w:rsid w:val="00D2542A"/>
    <w:rsid w:val="00DA79C1"/>
    <w:rsid w:val="00DB2B91"/>
    <w:rsid w:val="00DD7D14"/>
    <w:rsid w:val="00E0770C"/>
    <w:rsid w:val="00ED3775"/>
    <w:rsid w:val="00F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7B4"/>
  </w:style>
  <w:style w:type="paragraph" w:styleId="Balk1">
    <w:name w:val="heading 1"/>
    <w:basedOn w:val="Normal"/>
    <w:next w:val="Normal"/>
    <w:link w:val="Balk1Char"/>
    <w:uiPriority w:val="9"/>
    <w:qFormat/>
    <w:rsid w:val="004877B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77B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77B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77B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877B4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77B4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877B4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877B4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877B4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877B4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77B4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77B4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77B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877B4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877B4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877B4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877B4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877B4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877B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877B4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77B4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877B4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4877B4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4877B4"/>
    <w:rPr>
      <w:b/>
      <w:bCs/>
      <w:color w:val="70AD47" w:themeColor="accent6"/>
    </w:rPr>
  </w:style>
  <w:style w:type="character" w:styleId="Vurgu">
    <w:name w:val="Emphasis"/>
    <w:uiPriority w:val="20"/>
    <w:qFormat/>
    <w:rsid w:val="004877B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4877B4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877B4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4877B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4877B4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4877B4"/>
    <w:rPr>
      <w:b/>
      <w:bCs/>
      <w:i/>
      <w:iCs/>
    </w:rPr>
  </w:style>
  <w:style w:type="character" w:styleId="HafifVurgulama">
    <w:name w:val="Subtle Emphasis"/>
    <w:uiPriority w:val="19"/>
    <w:qFormat/>
    <w:rsid w:val="004877B4"/>
    <w:rPr>
      <w:i/>
      <w:iCs/>
    </w:rPr>
  </w:style>
  <w:style w:type="character" w:styleId="GlVurgulama">
    <w:name w:val="Intense Emphasis"/>
    <w:uiPriority w:val="21"/>
    <w:qFormat/>
    <w:rsid w:val="004877B4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4877B4"/>
    <w:rPr>
      <w:b/>
      <w:bCs/>
    </w:rPr>
  </w:style>
  <w:style w:type="character" w:styleId="GlBavuru">
    <w:name w:val="Intense Reference"/>
    <w:uiPriority w:val="32"/>
    <w:qFormat/>
    <w:rsid w:val="004877B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4877B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877B4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25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400C"/>
  </w:style>
  <w:style w:type="paragraph" w:styleId="AltBilgi">
    <w:name w:val="footer"/>
    <w:basedOn w:val="Normal"/>
    <w:link w:val="AltBilgiChar"/>
    <w:uiPriority w:val="99"/>
    <w:unhideWhenUsed/>
    <w:rsid w:val="0025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400C"/>
  </w:style>
  <w:style w:type="character" w:customStyle="1" w:styleId="AralkYokChar">
    <w:name w:val="Aralık Yok Char"/>
    <w:basedOn w:val="VarsaylanParagrafYazTipi"/>
    <w:link w:val="AralkYok"/>
    <w:uiPriority w:val="1"/>
    <w:locked/>
    <w:rsid w:val="0002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229C-868F-4744-BA41-38959672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2024-10-23T11:15:00Z</dcterms:created>
  <dcterms:modified xsi:type="dcterms:W3CDTF">2024-10-23T11:15:00Z</dcterms:modified>
</cp:coreProperties>
</file>