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895"/>
        <w:gridCol w:w="7801"/>
        <w:gridCol w:w="77"/>
      </w:tblGrid>
      <w:tr w:rsidR="00400D81" w:rsidRPr="00400D81" w14:paraId="5791AC46" w14:textId="77777777" w:rsidTr="00062B60">
        <w:trPr>
          <w:gridAfter w:val="1"/>
          <w:wAfter w:w="77" w:type="dxa"/>
          <w:trHeight w:val="1351"/>
        </w:trPr>
        <w:tc>
          <w:tcPr>
            <w:tcW w:w="2055" w:type="dxa"/>
            <w:gridSpan w:val="2"/>
          </w:tcPr>
          <w:p w14:paraId="6B57E4C5" w14:textId="5CE5989D" w:rsidR="004B7494" w:rsidRPr="00400D81" w:rsidRDefault="004B7494" w:rsidP="00814854">
            <w:pPr>
              <w:pStyle w:val="Balk2"/>
              <w:spacing w:before="0" w:line="360" w:lineRule="auto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</w:t>
            </w:r>
            <w:r w:rsidR="00814854"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İşlevi: </w:t>
            </w:r>
          </w:p>
        </w:tc>
        <w:tc>
          <w:tcPr>
            <w:tcW w:w="7801" w:type="dxa"/>
            <w:shd w:val="clear" w:color="auto" w:fill="auto"/>
            <w:vAlign w:val="center"/>
          </w:tcPr>
          <w:p w14:paraId="0699DBCB" w14:textId="5C79234F" w:rsidR="00FA1740" w:rsidRPr="00400D81" w:rsidRDefault="00C378C5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434"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Sağlık tesislerinde kullanılan IV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5D2DAB" w:rsidRPr="00400D8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, santral </w:t>
            </w:r>
            <w:proofErr w:type="spellStart"/>
            <w:r w:rsidR="005D2DAB" w:rsidRPr="00400D8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ve port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DAB" w:rsidRPr="00400D8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proofErr w:type="spellEnd"/>
            <w:r w:rsidR="006928B2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tespit (</w:t>
            </w:r>
            <w:r w:rsidR="00627F48" w:rsidRPr="00400D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abitleme) amacı ve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mikrobiyal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enfeksiyonları engellemek amacı ile üretilmiş olmalıdır.</w:t>
            </w:r>
          </w:p>
        </w:tc>
      </w:tr>
      <w:tr w:rsidR="00400D81" w:rsidRPr="00400D81" w14:paraId="48B12155" w14:textId="77777777" w:rsidTr="00062B60">
        <w:trPr>
          <w:gridAfter w:val="1"/>
          <w:wAfter w:w="77" w:type="dxa"/>
          <w:trHeight w:val="1640"/>
        </w:trPr>
        <w:tc>
          <w:tcPr>
            <w:tcW w:w="2055" w:type="dxa"/>
            <w:gridSpan w:val="2"/>
          </w:tcPr>
          <w:p w14:paraId="0B36AB79" w14:textId="3C374870" w:rsidR="004B7494" w:rsidRPr="00400D81" w:rsidRDefault="004B7494" w:rsidP="00814854">
            <w:pPr>
              <w:pStyle w:val="Balk2"/>
              <w:spacing w:before="0" w:line="360" w:lineRule="auto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</w:t>
            </w:r>
            <w:r w:rsidR="00814854"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Tanımlama</w:t>
            </w:r>
            <w:r w:rsidR="00814854"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Bilgileri: </w:t>
            </w:r>
          </w:p>
        </w:tc>
        <w:tc>
          <w:tcPr>
            <w:tcW w:w="7801" w:type="dxa"/>
            <w:shd w:val="clear" w:color="auto" w:fill="auto"/>
            <w:vAlign w:val="center"/>
          </w:tcPr>
          <w:p w14:paraId="109F7CC5" w14:textId="2501D47F" w:rsidR="00767D15" w:rsidRPr="00400D81" w:rsidRDefault="00ED0FA1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</w:t>
            </w:r>
            <w:r w:rsidR="00CD59E9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Şeffaf </w:t>
            </w:r>
            <w:r w:rsidR="0037451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/K</w:t>
            </w:r>
            <w:r w:rsidR="005D711F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anatlı </w:t>
            </w: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veya </w:t>
            </w:r>
            <w:proofErr w:type="spellStart"/>
            <w:r w:rsidR="0004687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Klorheksidin</w:t>
            </w:r>
            <w:proofErr w:type="spellEnd"/>
            <w:r w:rsidR="0004687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4687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Glukonatlı</w:t>
            </w:r>
            <w:proofErr w:type="spellEnd"/>
            <w:r w:rsidR="0004687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Jel </w:t>
            </w:r>
            <w:proofErr w:type="spellStart"/>
            <w:r w:rsidR="0004687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Pedli</w:t>
            </w:r>
            <w:proofErr w:type="spellEnd"/>
            <w:r w:rsidR="0037451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04687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Pedsiz</w:t>
            </w:r>
            <w:proofErr w:type="spellEnd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tipleri olmalıdır.</w:t>
            </w:r>
          </w:p>
          <w:p w14:paraId="11D8E40A" w14:textId="2F8C8EC9" w:rsidR="00FA1740" w:rsidRPr="00400D81" w:rsidRDefault="00C378C5" w:rsidP="00062B60">
            <w:pPr>
              <w:pStyle w:val="ListeParagraf"/>
              <w:numPr>
                <w:ilvl w:val="0"/>
                <w:numId w:val="19"/>
              </w:numPr>
              <w:tabs>
                <w:tab w:val="left" w:pos="215"/>
                <w:tab w:val="left" w:pos="800"/>
              </w:tabs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alt tanımlarında; 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ndalık kesirleri istenilen basamağa göre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yuvarlarken önce yuvarlanacak basamağın sağındaki ilk rakama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bakılır. Bu rakam 5’e eşit veya 5’ten büyük ise yuvarlanacak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basamaktaki rakam 1 artırılır ve bu basamağın sağındaki diğer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basamaklar atılır.</w:t>
            </w:r>
            <w:r w:rsidR="001D1A52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5’ten küçük ise yuvarlanacak basamaktaki rakam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değişmez ve bu basamağın sağındaki diğer basamaklar atılır.</w:t>
            </w:r>
          </w:p>
        </w:tc>
      </w:tr>
      <w:tr w:rsidR="00400D81" w:rsidRPr="00400D81" w14:paraId="3BB9F265" w14:textId="77777777" w:rsidTr="00062B60">
        <w:trPr>
          <w:gridAfter w:val="1"/>
          <w:wAfter w:w="77" w:type="dxa"/>
          <w:trHeight w:val="1640"/>
        </w:trPr>
        <w:tc>
          <w:tcPr>
            <w:tcW w:w="2055" w:type="dxa"/>
            <w:gridSpan w:val="2"/>
          </w:tcPr>
          <w:p w14:paraId="0B0619E3" w14:textId="3562D24D" w:rsidR="00814854" w:rsidRPr="00400D81" w:rsidRDefault="00814854" w:rsidP="00814854">
            <w:pPr>
              <w:pStyle w:val="Balk2"/>
              <w:spacing w:before="0" w:line="360" w:lineRule="auto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7801" w:type="dxa"/>
            <w:shd w:val="clear" w:color="auto" w:fill="auto"/>
            <w:vAlign w:val="center"/>
          </w:tcPr>
          <w:p w14:paraId="4F4CA3C5" w14:textId="77777777" w:rsidR="00814854" w:rsidRPr="00400D81" w:rsidRDefault="00814854" w:rsidP="00062B60">
            <w:p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/>
                <w:sz w:val="24"/>
                <w:szCs w:val="24"/>
              </w:rPr>
              <w:t>KATETER SABİTLEYİCİ, ŞEFFAF\KANATLI:</w:t>
            </w:r>
          </w:p>
          <w:p w14:paraId="20693CF7" w14:textId="3457DC77" w:rsidR="00814854" w:rsidRPr="00400D81" w:rsidRDefault="00941CC8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>alzeme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poliüretandan mamul kendinden yapışkanlı şeffaf film tabakası şeklinde olmalıdır.</w:t>
            </w:r>
          </w:p>
          <w:p w14:paraId="396DEAF3" w14:textId="34AA2FA2" w:rsidR="00814854" w:rsidRPr="00400D81" w:rsidRDefault="00941CC8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>utturucu şeridin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yapışkanı alerji yapmaz özelikte olmalıdır.</w:t>
            </w:r>
          </w:p>
          <w:p w14:paraId="2AE0A7A0" w14:textId="573558FD" w:rsidR="00814854" w:rsidRPr="00400D81" w:rsidRDefault="00941CC8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>atater</w:t>
            </w:r>
            <w:proofErr w:type="spellEnd"/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>intravenöz</w:t>
            </w:r>
            <w:proofErr w:type="spellEnd"/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ve santral girişimlerde, sabitleyici ve enfeksiyon önleyici nitelikte olmalıdır.</w:t>
            </w:r>
          </w:p>
          <w:p w14:paraId="2C7C2C1A" w14:textId="2FE2B6E6" w:rsidR="00814854" w:rsidRPr="00400D81" w:rsidRDefault="00941CC8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>u ve mikroorganizma geçirmemelidir.</w:t>
            </w:r>
          </w:p>
          <w:p w14:paraId="210AB84E" w14:textId="77777777" w:rsidR="00ED0FA1" w:rsidRPr="00400D81" w:rsidRDefault="00941CC8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üzgün yapışmalı ve </w:t>
            </w:r>
            <w:proofErr w:type="spellStart"/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>katateri</w:t>
            </w:r>
            <w:proofErr w:type="spellEnd"/>
            <w:r w:rsidR="008148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tam olarak sabitleyebilmelidir.</w:t>
            </w:r>
          </w:p>
          <w:p w14:paraId="25DB1C86" w14:textId="77777777" w:rsidR="00ED0FA1" w:rsidRPr="00400D81" w:rsidRDefault="00814854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üzerini kaplayan şeffaf film örtü </w:t>
            </w:r>
            <w:proofErr w:type="spellStart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kateter</w:t>
            </w:r>
            <w:proofErr w:type="spellEnd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bölgesini dışarıdan </w:t>
            </w:r>
            <w:r w:rsidR="00941CC8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gelebilecek</w:t>
            </w: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bakteri, </w:t>
            </w:r>
            <w:proofErr w:type="spellStart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virus</w:t>
            </w:r>
            <w:proofErr w:type="spellEnd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sıvı kaynaklı </w:t>
            </w:r>
            <w:proofErr w:type="spellStart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kontaminasyonlara</w:t>
            </w:r>
            <w:proofErr w:type="spellEnd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karşı korumalı ve enfeksiyon riskini azaltmak için bütünlüğü bozulmadığı takdirde sıvı, bakteri, çapı 27 </w:t>
            </w:r>
            <w:proofErr w:type="spellStart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nm</w:t>
            </w:r>
            <w:proofErr w:type="spellEnd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daha büyük virüsler için (HIV-1, HBV vb. virüsler) </w:t>
            </w:r>
            <w:proofErr w:type="spellStart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viral</w:t>
            </w:r>
            <w:proofErr w:type="spellEnd"/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</w:t>
            </w:r>
            <w:r w:rsidR="00ED0FA1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ariyer özelliği oluşturmalıdır.</w:t>
            </w:r>
          </w:p>
          <w:p w14:paraId="041BDB55" w14:textId="278F509A" w:rsidR="00814854" w:rsidRPr="00400D81" w:rsidRDefault="00941CC8" w:rsidP="00062B60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Ürün h</w:t>
            </w:r>
            <w:r w:rsidR="0081485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ava geçirgen özellikte olup oksijen ve nem buharı geçişine izin vermeli, </w:t>
            </w:r>
            <w:proofErr w:type="spellStart"/>
            <w:r w:rsidR="0081485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kateter</w:t>
            </w:r>
            <w:proofErr w:type="spellEnd"/>
            <w:r w:rsidR="00814854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girişi ve uygulama bölgesinin kuru kalmasını sağlamalıdır.</w:t>
            </w:r>
            <w:r w:rsidR="00ED0FA1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41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F6754" w:rsidRPr="00400D81">
              <w:rPr>
                <w:rFonts w:ascii="Times New Roman" w:hAnsi="Times New Roman" w:cs="Times New Roman"/>
                <w:sz w:val="24"/>
                <w:szCs w:val="24"/>
              </w:rPr>
              <w:t>nemlendirici ajan içermemelidir.</w:t>
            </w:r>
          </w:p>
        </w:tc>
      </w:tr>
      <w:tr w:rsidR="00400D81" w:rsidRPr="00400D81" w14:paraId="2F1E0A46" w14:textId="77777777" w:rsidTr="001D1A52">
        <w:trPr>
          <w:gridBefore w:val="1"/>
          <w:wBefore w:w="160" w:type="dxa"/>
          <w:trHeight w:val="2400"/>
        </w:trPr>
        <w:tc>
          <w:tcPr>
            <w:tcW w:w="1895" w:type="dxa"/>
          </w:tcPr>
          <w:p w14:paraId="393B9397" w14:textId="77777777" w:rsidR="00110909" w:rsidRPr="00400D81" w:rsidRDefault="00110909" w:rsidP="00814854">
            <w:pPr>
              <w:pStyle w:val="Balk2"/>
              <w:spacing w:before="0" w:after="120" w:line="360" w:lineRule="auto"/>
              <w:ind w:left="720"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49148E4B" w14:textId="07FA745C" w:rsidR="00ED0FA1" w:rsidRPr="00400D81" w:rsidRDefault="00ED0FA1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hipoallerjenik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3A0C3BF" w14:textId="2C56F1A0" w:rsidR="00110909" w:rsidRPr="00400D81" w:rsidRDefault="00941CC8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Ürünün</w:t>
            </w:r>
            <w:r w:rsidR="00ED0FA1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kanatlı tiplerinde, </w:t>
            </w: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110909"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ygulama tarihinin yazılmasını sağlayan etiketi bulunmalıdır</w:t>
            </w: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9826309" w14:textId="61CFF52F" w:rsidR="00110909" w:rsidRPr="00400D81" w:rsidRDefault="00941CC8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Ürünün y</w:t>
            </w:r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apıştırma </w:t>
            </w:r>
            <w:proofErr w:type="spellStart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>pedi</w:t>
            </w:r>
            <w:proofErr w:type="spellEnd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üzerinde koruma kâğıdı bulunmalıdır.</w:t>
            </w:r>
          </w:p>
          <w:p w14:paraId="0A1E1249" w14:textId="1F421317" w:rsidR="00110909" w:rsidRPr="00400D81" w:rsidRDefault="00941CC8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>oruma kâğıdı kolay ayrılmalı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>tutma yeri geniş olmalıdır.</w:t>
            </w:r>
          </w:p>
          <w:p w14:paraId="3EB02EF8" w14:textId="10116BD2" w:rsidR="00110909" w:rsidRPr="00400D81" w:rsidRDefault="00941CC8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anatlı </w:t>
            </w:r>
            <w:proofErr w:type="spellStart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>kateterlere</w:t>
            </w:r>
            <w:proofErr w:type="spellEnd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uygun güvenli sabitleme bölümü olmalı ve 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>güvenli sabitleme bölümüne kolayca yapışmalıdır.</w:t>
            </w:r>
          </w:p>
          <w:p w14:paraId="0F258D24" w14:textId="77777777" w:rsidR="00ED0FA1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Ürünler uygulanan yerde uzun süre kalabilmeli, kendiliğinden kolayca çıkmamalıdır.</w:t>
            </w:r>
          </w:p>
          <w:p w14:paraId="48543D51" w14:textId="77777777" w:rsidR="00ED0FA1" w:rsidRPr="00400D81" w:rsidRDefault="00ED0FA1" w:rsidP="00ED0FA1">
            <w:p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KLORHEKSİDİN GLUKONATLI JEL PEDLİ/PEDSİZ</w:t>
            </w:r>
          </w:p>
          <w:p w14:paraId="545F6827" w14:textId="68E3D925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kullanım yerinde enfeksiyonu azaltmalı veya içeriğinde bulunan antiseptik içerikle gram pozitif, gram negatif ve mayaya karşı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etki gösterirken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viral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bariyer oluşturmalıdır.</w:t>
            </w:r>
          </w:p>
          <w:p w14:paraId="6B2B71EA" w14:textId="63CD371C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şeffaf olmalı,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giriş bölgesi ve çevresinin gözlenmesine olanak sağlamalıdır</w:t>
            </w:r>
            <w:r w:rsidRPr="00400D81">
              <w:t xml:space="preserve"> </w:t>
            </w:r>
          </w:p>
          <w:p w14:paraId="52C81BEA" w14:textId="6DD119E4" w:rsidR="00857B2A" w:rsidRPr="00400D81" w:rsidRDefault="00857B2A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şeffaf film örtü ile entegre edilmiş en az %2’lik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klorheksidin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glukonat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içeren bir jel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pedden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oluşmalı ve/veya homojen olarak örtü içeriğine emdirilmiş en az %2’lik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klorheksidin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glukonat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içermelidir. (Jel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pedsiz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5C4A13" w14:textId="77777777" w:rsidR="000B5BE2" w:rsidRPr="00400D81" w:rsidRDefault="000B5BE2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klorheksidin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glukonat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içermeli ve içeriğindeki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klorheksidin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miktarının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etkinliği belgelendirilmelidir.</w:t>
            </w:r>
          </w:p>
          <w:p w14:paraId="1EDE9022" w14:textId="0EA20F31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Ürünün tüm tiplerinin içerdiği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klorheksidin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miktarı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sitotoksik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etki yaratmamalıdır.</w:t>
            </w:r>
          </w:p>
          <w:p w14:paraId="7A2D7668" w14:textId="1565FA29" w:rsidR="00ED0FA1" w:rsidRPr="00400D81" w:rsidRDefault="00ED0FA1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Ürünün şeffaf film merkezi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yapışkansız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5B4C3141" w14:textId="537A3C18" w:rsidR="00110909" w:rsidRPr="00400D81" w:rsidRDefault="001D1A52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rün 7 güne kadar </w:t>
            </w:r>
            <w:proofErr w:type="spellStart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giriş bölgesinde </w:t>
            </w:r>
            <w:proofErr w:type="spellStart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="00110909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etkinlik sağlamalıdır.</w:t>
            </w:r>
          </w:p>
          <w:p w14:paraId="150A80B4" w14:textId="77777777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etrafını daha iyi kavrayabilmesi için çentikli tasarıma sahip olmalıdır.</w:t>
            </w:r>
          </w:p>
          <w:p w14:paraId="0FB7964A" w14:textId="77777777" w:rsidR="00ED0FA1" w:rsidRPr="00400D81" w:rsidRDefault="00ED0FA1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Cs/>
                <w:sz w:val="24"/>
                <w:szCs w:val="24"/>
              </w:rPr>
              <w:t>Ürünün kanatlı tiplerinde,  uygulama tarihinin yazılmasını sağlayan etiketi bulunmalıdır.</w:t>
            </w:r>
          </w:p>
          <w:p w14:paraId="236500BC" w14:textId="34893B60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left="658"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 uygulama kolaylığı sağlayacak şekilde imal edilmiş olmalı uygulama esnasında üründen kolayca ayrılan koruma bandına sahip olmalıdır.</w:t>
            </w:r>
          </w:p>
          <w:p w14:paraId="74D9EE4E" w14:textId="6D1DE950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Ürünün üzerini kaplayan şeffaf film örtü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bölgesini dışarıdan olabilecek bakteri, virüs ve sıvı kaynaklı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kontaminasyonlara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karşı korumak ve enfeksiyon riskini azaltmak için bütünlüğü bozulmadığı takdirde sıvı, bakteri ve çapı 27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ve daha büyük virüsler için (HBV</w:t>
            </w:r>
            <w:r w:rsidR="001D1A52" w:rsidRPr="00400D81">
              <w:rPr>
                <w:rFonts w:ascii="Times New Roman" w:hAnsi="Times New Roman" w:cs="Times New Roman"/>
                <w:sz w:val="24"/>
                <w:szCs w:val="24"/>
              </w:rPr>
              <w:t>, HIV-1</w:t>
            </w: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vb. virüsler)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viral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bariyer özelliği oluşturmalıdır. </w:t>
            </w:r>
          </w:p>
          <w:p w14:paraId="00382FE0" w14:textId="5890CAA2" w:rsidR="009F6754" w:rsidRPr="00400D81" w:rsidRDefault="00110909" w:rsidP="009F6754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 hava geçirgen özellikte olup, oksijen ve nem buharı geçişine izin vermeli,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giriş bölgesinin kuru kalmasını sağlamalıdır. </w:t>
            </w:r>
            <w:r w:rsidR="00106053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CB2418">
              <w:rPr>
                <w:rFonts w:ascii="Times New Roman" w:hAnsi="Times New Roman" w:cs="Times New Roman"/>
                <w:sz w:val="24"/>
                <w:szCs w:val="24"/>
              </w:rPr>
              <w:t>pedli</w:t>
            </w:r>
            <w:proofErr w:type="spellEnd"/>
            <w:r w:rsidR="00CB2418">
              <w:rPr>
                <w:rFonts w:ascii="Times New Roman" w:hAnsi="Times New Roman" w:cs="Times New Roman"/>
                <w:sz w:val="24"/>
                <w:szCs w:val="24"/>
              </w:rPr>
              <w:t xml:space="preserve"> tipleri de </w:t>
            </w:r>
            <w:proofErr w:type="spellStart"/>
            <w:r w:rsidR="00CB2418">
              <w:rPr>
                <w:rFonts w:ascii="Times New Roman" w:hAnsi="Times New Roman" w:cs="Times New Roman"/>
                <w:sz w:val="24"/>
                <w:szCs w:val="24"/>
              </w:rPr>
              <w:t>pedsiz</w:t>
            </w:r>
            <w:proofErr w:type="spellEnd"/>
            <w:r w:rsidR="00CB2418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="009F6754"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de nemlendirici ajan içermemelidir. </w:t>
            </w:r>
          </w:p>
          <w:p w14:paraId="5330AC1F" w14:textId="77777777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Yapışkanı hipoalerjenik olmalı, ciltte ve </w:t>
            </w:r>
            <w:proofErr w:type="spellStart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 üzerinde kalıntı bırakmamalıdır.</w:t>
            </w:r>
          </w:p>
          <w:p w14:paraId="1B15D1CB" w14:textId="1CD6F086" w:rsidR="00110909" w:rsidRPr="00400D81" w:rsidRDefault="00110909" w:rsidP="00ED0FA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 xml:space="preserve">Ürün, 93/42/EEC ve 2007/47/EC Tıbbi Cihaz Direktifleri ’ne göre “Sınıf 3” kriterine uygun olmalıdır. Yetkili bağımsız bir kuruluş tarafından onaylı, sınıf 3 kriterine uygunluk için gerekli olan CE Tam Kalite Güvence Sistemi ve CE Tasarım İnceleme Sertifikasına sahip olmalıdır. </w:t>
            </w:r>
          </w:p>
        </w:tc>
      </w:tr>
      <w:tr w:rsidR="00400D81" w:rsidRPr="00400D81" w14:paraId="17A5157A" w14:textId="77777777" w:rsidTr="00400D81">
        <w:trPr>
          <w:gridBefore w:val="1"/>
          <w:wBefore w:w="160" w:type="dxa"/>
          <w:trHeight w:val="774"/>
        </w:trPr>
        <w:tc>
          <w:tcPr>
            <w:tcW w:w="1895" w:type="dxa"/>
            <w:vAlign w:val="center"/>
          </w:tcPr>
          <w:p w14:paraId="2E7CFBBE" w14:textId="77777777" w:rsidR="00110909" w:rsidRPr="00400D81" w:rsidRDefault="00110909" w:rsidP="00400D81">
            <w:pPr>
              <w:pStyle w:val="Balk2"/>
              <w:spacing w:before="0" w:line="360" w:lineRule="auto"/>
              <w:ind w:left="283"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110909" w:rsidRPr="00400D81" w:rsidRDefault="00110909" w:rsidP="00400D81">
            <w:pPr>
              <w:pStyle w:val="Balk2"/>
              <w:spacing w:before="0" w:line="360" w:lineRule="auto"/>
              <w:ind w:left="283"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78" w:type="dxa"/>
            <w:gridSpan w:val="2"/>
            <w:shd w:val="clear" w:color="auto" w:fill="auto"/>
            <w:vAlign w:val="center"/>
          </w:tcPr>
          <w:p w14:paraId="1B153529" w14:textId="47A48AA5" w:rsidR="00110909" w:rsidRPr="00400D81" w:rsidRDefault="00110909" w:rsidP="00400D81">
            <w:pPr>
              <w:pStyle w:val="ListeParagraf"/>
              <w:numPr>
                <w:ilvl w:val="0"/>
                <w:numId w:val="19"/>
              </w:numPr>
              <w:spacing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1">
              <w:rPr>
                <w:rFonts w:ascii="Times New Roman" w:hAnsi="Times New Roman" w:cs="Times New Roman"/>
                <w:sz w:val="24"/>
                <w:szCs w:val="24"/>
              </w:rPr>
              <w:t>Ürün steril tekli pakette sunulmalıdır.</w:t>
            </w:r>
          </w:p>
        </w:tc>
      </w:tr>
    </w:tbl>
    <w:p w14:paraId="3335A9E9" w14:textId="77777777" w:rsidR="00331203" w:rsidRPr="00400D81" w:rsidRDefault="00331203" w:rsidP="00026469">
      <w:pPr>
        <w:pStyle w:val="ListeParagraf"/>
        <w:spacing w:line="36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00D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B1820" w14:textId="77777777" w:rsidR="009807CB" w:rsidRDefault="009807CB" w:rsidP="00CC1546">
      <w:pPr>
        <w:spacing w:after="0" w:line="240" w:lineRule="auto"/>
      </w:pPr>
      <w:r>
        <w:separator/>
      </w:r>
    </w:p>
  </w:endnote>
  <w:endnote w:type="continuationSeparator" w:id="0">
    <w:p w14:paraId="78CE6273" w14:textId="77777777" w:rsidR="009807CB" w:rsidRDefault="009807C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16A32" w14:textId="77777777" w:rsidR="009807CB" w:rsidRDefault="009807CB" w:rsidP="00CC1546">
      <w:pPr>
        <w:spacing w:after="0" w:line="240" w:lineRule="auto"/>
      </w:pPr>
      <w:r>
        <w:separator/>
      </w:r>
    </w:p>
  </w:footnote>
  <w:footnote w:type="continuationSeparator" w:id="0">
    <w:p w14:paraId="1D8EEFE0" w14:textId="77777777" w:rsidR="009807CB" w:rsidRDefault="009807C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297A56AC" w:rsidR="00CC1546" w:rsidRPr="00B57F18" w:rsidRDefault="008A2CC3" w:rsidP="00500422">
    <w:pPr>
      <w:tabs>
        <w:tab w:val="num" w:pos="900"/>
      </w:tabs>
      <w:spacing w:before="120"/>
      <w:jc w:val="both"/>
      <w:rPr>
        <w:rFonts w:ascii="Times New Roman" w:hAnsi="Times New Roman" w:cs="Times New Roman"/>
        <w:b/>
        <w:bCs/>
        <w:sz w:val="24"/>
        <w:szCs w:val="24"/>
      </w:rPr>
    </w:pPr>
    <w:r w:rsidRPr="00B57F18">
      <w:rPr>
        <w:rFonts w:ascii="Times New Roman" w:hAnsi="Times New Roman" w:cs="Times New Roman"/>
        <w:b/>
        <w:bCs/>
        <w:sz w:val="24"/>
        <w:szCs w:val="24"/>
      </w:rPr>
      <w:t xml:space="preserve">SMT3927 </w:t>
    </w:r>
    <w:r w:rsidR="00374514">
      <w:rPr>
        <w:rFonts w:ascii="Times New Roman" w:hAnsi="Times New Roman" w:cs="Times New Roman"/>
        <w:b/>
        <w:bCs/>
        <w:sz w:val="24"/>
        <w:szCs w:val="24"/>
      </w:rPr>
      <w:t>KATETER</w:t>
    </w:r>
    <w:r w:rsidRPr="00B57F18">
      <w:rPr>
        <w:rFonts w:ascii="Times New Roman" w:hAnsi="Times New Roman" w:cs="Times New Roman"/>
        <w:b/>
        <w:bCs/>
        <w:sz w:val="24"/>
        <w:szCs w:val="24"/>
      </w:rPr>
      <w:t xml:space="preserve"> SABİTLEYİCİ ŞEF</w:t>
    </w:r>
    <w:r w:rsidR="001454A9" w:rsidRPr="00B57F18">
      <w:rPr>
        <w:rFonts w:ascii="Times New Roman" w:hAnsi="Times New Roman" w:cs="Times New Roman"/>
        <w:b/>
        <w:bCs/>
        <w:sz w:val="24"/>
        <w:szCs w:val="24"/>
      </w:rPr>
      <w:t>F</w:t>
    </w:r>
    <w:r w:rsidRPr="00B57F18">
      <w:rPr>
        <w:rFonts w:ascii="Times New Roman" w:hAnsi="Times New Roman" w:cs="Times New Roman"/>
        <w:b/>
        <w:bCs/>
        <w:sz w:val="24"/>
        <w:szCs w:val="24"/>
      </w:rPr>
      <w:t>AF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550CD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25208"/>
    <w:multiLevelType w:val="hybridMultilevel"/>
    <w:tmpl w:val="8D9CFDC2"/>
    <w:lvl w:ilvl="0" w:tplc="0D0C0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4D2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E54BA2"/>
    <w:multiLevelType w:val="hybridMultilevel"/>
    <w:tmpl w:val="725A5E52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012F8"/>
    <w:multiLevelType w:val="hybridMultilevel"/>
    <w:tmpl w:val="BC78DF18"/>
    <w:lvl w:ilvl="0" w:tplc="2B2A480A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40431AE"/>
    <w:multiLevelType w:val="hybridMultilevel"/>
    <w:tmpl w:val="208CEDEE"/>
    <w:lvl w:ilvl="0" w:tplc="0D0C0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70C66"/>
    <w:multiLevelType w:val="hybridMultilevel"/>
    <w:tmpl w:val="BE102022"/>
    <w:lvl w:ilvl="0" w:tplc="041F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3EB31BE3"/>
    <w:multiLevelType w:val="hybridMultilevel"/>
    <w:tmpl w:val="398890E2"/>
    <w:lvl w:ilvl="0" w:tplc="C8340ED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15D4"/>
    <w:multiLevelType w:val="hybridMultilevel"/>
    <w:tmpl w:val="4586B074"/>
    <w:lvl w:ilvl="0" w:tplc="0D0C0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93126"/>
    <w:multiLevelType w:val="hybridMultilevel"/>
    <w:tmpl w:val="92623FA0"/>
    <w:lvl w:ilvl="0" w:tplc="2B2A4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B750D"/>
    <w:multiLevelType w:val="hybridMultilevel"/>
    <w:tmpl w:val="84124D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74A0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9C3854"/>
    <w:multiLevelType w:val="hybridMultilevel"/>
    <w:tmpl w:val="4CBE8FC8"/>
    <w:lvl w:ilvl="0" w:tplc="2B2A4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E7B2E"/>
    <w:multiLevelType w:val="hybridMultilevel"/>
    <w:tmpl w:val="63AC2C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26CF1"/>
    <w:multiLevelType w:val="hybridMultilevel"/>
    <w:tmpl w:val="530A0A0A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299C"/>
    <w:multiLevelType w:val="hybridMultilevel"/>
    <w:tmpl w:val="DA92B280"/>
    <w:lvl w:ilvl="0" w:tplc="041F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149E7"/>
    <w:multiLevelType w:val="hybridMultilevel"/>
    <w:tmpl w:val="DA349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4"/>
  </w:num>
  <w:num w:numId="9">
    <w:abstractNumId w:val="17"/>
  </w:num>
  <w:num w:numId="10">
    <w:abstractNumId w:val="13"/>
  </w:num>
  <w:num w:numId="11">
    <w:abstractNumId w:val="10"/>
  </w:num>
  <w:num w:numId="12">
    <w:abstractNumId w:val="18"/>
  </w:num>
  <w:num w:numId="13">
    <w:abstractNumId w:val="5"/>
  </w:num>
  <w:num w:numId="14">
    <w:abstractNumId w:val="9"/>
  </w:num>
  <w:num w:numId="15">
    <w:abstractNumId w:val="15"/>
  </w:num>
  <w:num w:numId="16">
    <w:abstractNumId w:val="20"/>
  </w:num>
  <w:num w:numId="17">
    <w:abstractNumId w:val="7"/>
  </w:num>
  <w:num w:numId="18">
    <w:abstractNumId w:val="12"/>
  </w:num>
  <w:num w:numId="19">
    <w:abstractNumId w:val="2"/>
  </w:num>
  <w:num w:numId="20">
    <w:abstractNumId w:val="16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469"/>
    <w:rsid w:val="000465BE"/>
    <w:rsid w:val="00046874"/>
    <w:rsid w:val="00062B60"/>
    <w:rsid w:val="000B13BA"/>
    <w:rsid w:val="000B5BE2"/>
    <w:rsid w:val="000C2945"/>
    <w:rsid w:val="000D04A5"/>
    <w:rsid w:val="000D1217"/>
    <w:rsid w:val="00104579"/>
    <w:rsid w:val="00106053"/>
    <w:rsid w:val="00110909"/>
    <w:rsid w:val="00113C1D"/>
    <w:rsid w:val="00117693"/>
    <w:rsid w:val="00117D83"/>
    <w:rsid w:val="001454A9"/>
    <w:rsid w:val="0018242F"/>
    <w:rsid w:val="00183290"/>
    <w:rsid w:val="00195FEB"/>
    <w:rsid w:val="001A0D55"/>
    <w:rsid w:val="001C4381"/>
    <w:rsid w:val="001D1A52"/>
    <w:rsid w:val="00205531"/>
    <w:rsid w:val="0025497D"/>
    <w:rsid w:val="00260075"/>
    <w:rsid w:val="002618E3"/>
    <w:rsid w:val="002A6F1C"/>
    <w:rsid w:val="002B66F4"/>
    <w:rsid w:val="00331203"/>
    <w:rsid w:val="00336300"/>
    <w:rsid w:val="00374514"/>
    <w:rsid w:val="003B4946"/>
    <w:rsid w:val="00400841"/>
    <w:rsid w:val="00400D81"/>
    <w:rsid w:val="004653BF"/>
    <w:rsid w:val="004807A0"/>
    <w:rsid w:val="004B0333"/>
    <w:rsid w:val="004B7494"/>
    <w:rsid w:val="004C3482"/>
    <w:rsid w:val="004E31D4"/>
    <w:rsid w:val="00500422"/>
    <w:rsid w:val="00520033"/>
    <w:rsid w:val="005315E9"/>
    <w:rsid w:val="00583E39"/>
    <w:rsid w:val="005B0C42"/>
    <w:rsid w:val="005D2DAB"/>
    <w:rsid w:val="005D711F"/>
    <w:rsid w:val="005E7B2B"/>
    <w:rsid w:val="00605043"/>
    <w:rsid w:val="0062347A"/>
    <w:rsid w:val="00627F48"/>
    <w:rsid w:val="00675DF5"/>
    <w:rsid w:val="006928B2"/>
    <w:rsid w:val="006963C6"/>
    <w:rsid w:val="006B547E"/>
    <w:rsid w:val="006E2256"/>
    <w:rsid w:val="0070551A"/>
    <w:rsid w:val="0075533B"/>
    <w:rsid w:val="00767D15"/>
    <w:rsid w:val="00781D41"/>
    <w:rsid w:val="00794EAD"/>
    <w:rsid w:val="007B78E4"/>
    <w:rsid w:val="007D4D77"/>
    <w:rsid w:val="00814854"/>
    <w:rsid w:val="00822468"/>
    <w:rsid w:val="00842FB2"/>
    <w:rsid w:val="00857B2A"/>
    <w:rsid w:val="008735C9"/>
    <w:rsid w:val="008A2CC3"/>
    <w:rsid w:val="008D0132"/>
    <w:rsid w:val="008E4147"/>
    <w:rsid w:val="00926F20"/>
    <w:rsid w:val="00927EC9"/>
    <w:rsid w:val="00936492"/>
    <w:rsid w:val="00941CC8"/>
    <w:rsid w:val="00957989"/>
    <w:rsid w:val="009807CB"/>
    <w:rsid w:val="00984BEA"/>
    <w:rsid w:val="009F46F0"/>
    <w:rsid w:val="009F6754"/>
    <w:rsid w:val="00A0052E"/>
    <w:rsid w:val="00A00816"/>
    <w:rsid w:val="00A0594E"/>
    <w:rsid w:val="00A342F6"/>
    <w:rsid w:val="00A37F10"/>
    <w:rsid w:val="00A76582"/>
    <w:rsid w:val="00A85038"/>
    <w:rsid w:val="00A93490"/>
    <w:rsid w:val="00AC7652"/>
    <w:rsid w:val="00AE16CA"/>
    <w:rsid w:val="00B06081"/>
    <w:rsid w:val="00B24FEE"/>
    <w:rsid w:val="00B57F18"/>
    <w:rsid w:val="00B607B0"/>
    <w:rsid w:val="00BA3150"/>
    <w:rsid w:val="00BD6076"/>
    <w:rsid w:val="00BE12E8"/>
    <w:rsid w:val="00BF4EE4"/>
    <w:rsid w:val="00BF53BE"/>
    <w:rsid w:val="00BF5AAE"/>
    <w:rsid w:val="00C01E0E"/>
    <w:rsid w:val="00C030B8"/>
    <w:rsid w:val="00C378C5"/>
    <w:rsid w:val="00C8052B"/>
    <w:rsid w:val="00C82DF5"/>
    <w:rsid w:val="00CB2418"/>
    <w:rsid w:val="00CC1546"/>
    <w:rsid w:val="00CD59E9"/>
    <w:rsid w:val="00CF38CA"/>
    <w:rsid w:val="00CF6303"/>
    <w:rsid w:val="00D4251B"/>
    <w:rsid w:val="00D779FC"/>
    <w:rsid w:val="00DE24C1"/>
    <w:rsid w:val="00E401E5"/>
    <w:rsid w:val="00E4606F"/>
    <w:rsid w:val="00E61905"/>
    <w:rsid w:val="00E762BF"/>
    <w:rsid w:val="00E82540"/>
    <w:rsid w:val="00E87C48"/>
    <w:rsid w:val="00EB12BC"/>
    <w:rsid w:val="00ED0FA1"/>
    <w:rsid w:val="00ED3775"/>
    <w:rsid w:val="00EF4F6E"/>
    <w:rsid w:val="00EF5DA4"/>
    <w:rsid w:val="00F0707C"/>
    <w:rsid w:val="00F16602"/>
    <w:rsid w:val="00F87C1A"/>
    <w:rsid w:val="00F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YerTutucuMetni">
    <w:name w:val="Placeholder Text"/>
    <w:basedOn w:val="VarsaylanParagrafYazTipi"/>
    <w:uiPriority w:val="99"/>
    <w:semiHidden/>
    <w:rsid w:val="000468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861B-6E83-4211-8D9B-E0B19E7C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2026-04-01T06:29:00Z</dcterms:created>
  <dcterms:modified xsi:type="dcterms:W3CDTF">2026-04-01T06:29:00Z</dcterms:modified>
</cp:coreProperties>
</file>