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8948"/>
      </w:tblGrid>
      <w:tr w:rsidR="0038792A" w:rsidRPr="0033483D" w14:paraId="341CCF6B" w14:textId="77777777" w:rsidTr="00076076">
        <w:trPr>
          <w:trHeight w:val="1134"/>
        </w:trPr>
        <w:tc>
          <w:tcPr>
            <w:tcW w:w="1316" w:type="dxa"/>
          </w:tcPr>
          <w:p w14:paraId="4C011779" w14:textId="77777777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SMT Temel İşlevi: </w:t>
            </w:r>
          </w:p>
        </w:tc>
        <w:tc>
          <w:tcPr>
            <w:tcW w:w="8948" w:type="dxa"/>
            <w:shd w:val="clear" w:color="auto" w:fill="auto"/>
          </w:tcPr>
          <w:p w14:paraId="60EE616F" w14:textId="516CBB09" w:rsidR="0038792A" w:rsidRPr="00230538" w:rsidRDefault="00524093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10" w:hanging="426"/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Ürün derin vücut yaralanmalarında (özellikle kurşun ve kesici</w:t>
            </w:r>
            <w:r w:rsidR="007D14FA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-</w:t>
            </w:r>
            <w:r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delici alet</w:t>
            </w:r>
            <w:r w:rsidR="0084327A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yaralanmalarında) </w:t>
            </w:r>
            <w:r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kanama durdurma amaçlı, medikal malzemeden üretilmiş ilk yardım ürünü olmalıdır.</w:t>
            </w:r>
          </w:p>
        </w:tc>
      </w:tr>
      <w:tr w:rsidR="0038792A" w:rsidRPr="0033483D" w14:paraId="371DD81A" w14:textId="77777777" w:rsidTr="00076076">
        <w:trPr>
          <w:trHeight w:val="1117"/>
        </w:trPr>
        <w:tc>
          <w:tcPr>
            <w:tcW w:w="1316" w:type="dxa"/>
          </w:tcPr>
          <w:p w14:paraId="504E0B85" w14:textId="77777777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SM Malzeme Tanımlama Bilgileri: </w:t>
            </w:r>
          </w:p>
        </w:tc>
        <w:tc>
          <w:tcPr>
            <w:tcW w:w="8948" w:type="dxa"/>
            <w:shd w:val="clear" w:color="auto" w:fill="auto"/>
          </w:tcPr>
          <w:p w14:paraId="5D1CCA60" w14:textId="42CC4539" w:rsidR="00FB068B" w:rsidRPr="00230538" w:rsidRDefault="00973316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10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Ürün</w:t>
            </w:r>
            <w:r w:rsidR="00524093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ün</w:t>
            </w:r>
            <w:r w:rsidR="00FB068B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Z-katlı</w:t>
            </w:r>
            <w:r w:rsidR="00852AB6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, rulo</w:t>
            </w:r>
            <w:r w:rsidR="00C76B30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, polimerik </w:t>
            </w:r>
            <w:r w:rsidR="00B43970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veya silindir</w:t>
            </w:r>
            <w:r w:rsidR="00524093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şeklinde </w:t>
            </w:r>
            <w:r w:rsidR="00B43970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tipleri</w:t>
            </w:r>
            <w:r w:rsidR="00524093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</w:t>
            </w:r>
            <w:r w:rsidR="00451475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ve çeşitli ebatları </w:t>
            </w:r>
            <w:r w:rsidR="00524093" w:rsidRPr="00230538">
              <w:rPr>
                <w:rFonts w:ascii="Times New Roman" w:eastAsia="Cambria" w:hAnsi="Times New Roman" w:cs="Times New Roman"/>
                <w:sz w:val="23"/>
                <w:szCs w:val="23"/>
              </w:rPr>
              <w:t>olmalı, etken madde sayesinde kanama durdurucu özelliğine sahip olmalıdır.</w:t>
            </w:r>
          </w:p>
          <w:p w14:paraId="15213C95" w14:textId="52DE4B77" w:rsidR="007114FE" w:rsidRPr="00230538" w:rsidRDefault="007114FE" w:rsidP="00536936">
            <w:pPr>
              <w:tabs>
                <w:tab w:val="left" w:pos="425"/>
              </w:tabs>
              <w:spacing w:before="120" w:after="120" w:line="360" w:lineRule="auto"/>
              <w:ind w:left="451" w:right="210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92A" w:rsidRPr="0033483D" w14:paraId="66892037" w14:textId="77777777" w:rsidTr="00076076">
        <w:trPr>
          <w:trHeight w:val="699"/>
        </w:trPr>
        <w:tc>
          <w:tcPr>
            <w:tcW w:w="1316" w:type="dxa"/>
          </w:tcPr>
          <w:p w14:paraId="0EF82B39" w14:textId="77777777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Teknik Özellikleri: </w:t>
            </w:r>
          </w:p>
          <w:p w14:paraId="619EF203" w14:textId="77777777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8948" w:type="dxa"/>
            <w:shd w:val="clear" w:color="auto" w:fill="auto"/>
          </w:tcPr>
          <w:p w14:paraId="30AB48D8" w14:textId="35A7CF02" w:rsidR="002C4646" w:rsidRPr="00230538" w:rsidRDefault="0084327A" w:rsidP="00536936">
            <w:pPr>
              <w:pStyle w:val="ListeParagraf"/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230538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Z-KATLI</w:t>
            </w:r>
            <w:r w:rsidRPr="00230538">
              <w:rPr>
                <w:rFonts w:ascii="Times New Roman" w:hAnsi="Times New Roman"/>
                <w:b/>
                <w:bCs/>
                <w:sz w:val="23"/>
                <w:szCs w:val="23"/>
                <w:u w:val="single"/>
              </w:rPr>
              <w:t xml:space="preserve"> TAMPON</w:t>
            </w:r>
          </w:p>
          <w:p w14:paraId="185D4A09" w14:textId="703989CE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Ürünün aktif maddesi tıbbi kullanım için üretilmiş Kitosan-R, deasetilize beta-alfa poli-n-glukosamin </w:t>
            </w:r>
            <w:r w:rsidR="002C4646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veya </w:t>
            </w:r>
            <w:r w:rsidR="002C4646" w:rsidRPr="00230538">
              <w:rPr>
                <w:rFonts w:ascii="Times New Roman" w:eastAsia="Times New Roman" w:hAnsi="Times New Roman" w:cs="Times New Roman"/>
                <w:sz w:val="23"/>
                <w:szCs w:val="23"/>
              </w:rPr>
              <w:t>kaolin</w:t>
            </w:r>
            <w:r w:rsidR="00852AB6" w:rsidRPr="0023053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etken maddesi ile 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moleküler yapıda hemostaz amaçlı aktive edilmiş olmalıdır.</w:t>
            </w:r>
          </w:p>
          <w:p w14:paraId="2389BA29" w14:textId="46B355EB" w:rsidR="00B76A96" w:rsidRPr="00230538" w:rsidRDefault="00B76A96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Viskoz </w:t>
            </w:r>
            <w:r w:rsidR="002C4646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liflerine </w:t>
            </w:r>
            <w:r w:rsidR="002C4646" w:rsidRPr="00230538">
              <w:rPr>
                <w:rFonts w:ascii="Times New Roman" w:eastAsia="Times New Roman" w:hAnsi="Times New Roman" w:cs="Times New Roman"/>
                <w:sz w:val="23"/>
                <w:szCs w:val="23"/>
              </w:rPr>
              <w:t>veya</w:t>
            </w:r>
            <w:r w:rsidRPr="0023053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gazlı beze ürün ölçüsüne bağlı olarak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yeterli miktarda etken madde </w:t>
            </w:r>
            <w:r w:rsidR="002C4646" w:rsidRPr="00230538">
              <w:rPr>
                <w:rFonts w:ascii="Times New Roman" w:hAnsi="Times New Roman" w:cs="Times New Roman"/>
                <w:sz w:val="23"/>
                <w:szCs w:val="23"/>
              </w:rPr>
              <w:t>emdirilmiş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ve Z-Katlı tek steril paket içinde ambalajmış olmalıdır.</w:t>
            </w:r>
          </w:p>
          <w:p w14:paraId="3B93CB11" w14:textId="7CB402BA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Operasyon alanına yara bölgesine kullanımı sırasında tüm uzunluğun kullan</w:t>
            </w:r>
            <w:r w:rsidR="00B76A96" w:rsidRPr="00230538">
              <w:rPr>
                <w:rFonts w:ascii="Times New Roman" w:hAnsi="Times New Roman" w:cs="Times New Roman"/>
                <w:sz w:val="23"/>
                <w:szCs w:val="23"/>
              </w:rPr>
              <w:t>ıcıya hız ve kontrol sağlayacak</w:t>
            </w:r>
            <w:r w:rsidR="002B7C39" w:rsidRPr="0023053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Z şeklinde katlanmış şekilde kullanıma hazır olmalıdır.</w:t>
            </w:r>
            <w:r w:rsidR="006177AF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Kullanım sırasında bandaj esnek ve şekil verilebilir olmalıdır.</w:t>
            </w:r>
          </w:p>
          <w:p w14:paraId="2FE2313B" w14:textId="4ECCA1E5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Operasyon sırasında kullanıma hazır olmalı ve herhangi bir karıştırma, hazırlama gerektirmemelidir. </w:t>
            </w:r>
            <w:r w:rsidR="009368A4" w:rsidRPr="00230538">
              <w:rPr>
                <w:rFonts w:ascii="Times New Roman" w:hAnsi="Times New Roman" w:cs="Times New Roman"/>
                <w:sz w:val="23"/>
                <w:szCs w:val="23"/>
              </w:rPr>
              <w:t>Viskoz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lifleri ve granüler </w:t>
            </w:r>
            <w:r w:rsidR="009368A4" w:rsidRPr="00230538">
              <w:rPr>
                <w:rFonts w:ascii="Times New Roman" w:hAnsi="Times New Roman" w:cs="Times New Roman"/>
                <w:sz w:val="23"/>
                <w:szCs w:val="23"/>
              </w:rPr>
              <w:t>K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itosan-R süzgeç görevi ile kan bileşenlerini dışarıda bırakmalıdır. </w:t>
            </w:r>
            <w:r w:rsidR="002B7C39" w:rsidRPr="0023053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Kaolin içerikli olanlar ise X</w:t>
            </w:r>
            <w:r w:rsidR="002C4646" w:rsidRPr="00230538">
              <w:rPr>
                <w:rFonts w:ascii="Times New Roman" w:eastAsia="Times New Roman" w:hAnsi="Times New Roman" w:cs="Times New Roman"/>
                <w:sz w:val="23"/>
                <w:szCs w:val="23"/>
              </w:rPr>
              <w:t>-R</w:t>
            </w:r>
            <w:r w:rsidR="002B7C39" w:rsidRPr="00230538">
              <w:rPr>
                <w:rFonts w:ascii="Times New Roman" w:eastAsia="Times New Roman" w:hAnsi="Times New Roman" w:cs="Times New Roman"/>
                <w:sz w:val="23"/>
                <w:szCs w:val="23"/>
              </w:rPr>
              <w:t>ay de görülebilir özellikte mavi renkli radyo opak ipliğe sahip olmalıdır.</w:t>
            </w:r>
          </w:p>
          <w:p w14:paraId="4CAE7503" w14:textId="77777777" w:rsidR="002B7C39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Yara sıvısını, yara ortamında birikmesini emerek engellemeli ve aseptik ortamı katyonik bağ </w:t>
            </w:r>
            <w:r w:rsidR="002B7C39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veya hemostazı 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sağlamalıdır.</w:t>
            </w:r>
          </w:p>
          <w:p w14:paraId="740854F4" w14:textId="3EBBFF11" w:rsidR="002B7C39" w:rsidRPr="00230538" w:rsidRDefault="002B7C39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Kitosan içerikli </w:t>
            </w:r>
            <w:r w:rsidR="002C4646" w:rsidRPr="00230538">
              <w:rPr>
                <w:rFonts w:ascii="Times New Roman" w:hAnsi="Times New Roman" w:cs="Times New Roman"/>
                <w:sz w:val="23"/>
                <w:szCs w:val="23"/>
              </w:rPr>
              <w:t>ürünler: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Pıhtılaşma faktörlerinden bağımsız olarak eritrosit bariyeri oluşturmalı ve trombositlerle direkt etkileşime girerek TGF-B1 ve PDGF salınımını </w:t>
            </w:r>
            <w:r w:rsidR="002C4646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artırabilmeli, </w:t>
            </w:r>
            <w:r w:rsidR="002C4646" w:rsidRPr="00230538">
              <w:rPr>
                <w:rFonts w:ascii="Times New Roman" w:eastAsia="Times New Roman" w:hAnsi="Times New Roman" w:cs="Times New Roman"/>
                <w:sz w:val="23"/>
                <w:szCs w:val="23"/>
              </w:rPr>
              <w:t>Kaolin</w:t>
            </w:r>
            <w:r w:rsidRPr="0023053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içerikli olanlar ise pıhtılaşma faktörlerini kullanarak kanamayı durdurmalıdır.</w:t>
            </w:r>
          </w:p>
          <w:p w14:paraId="0ABBC376" w14:textId="21563441" w:rsidR="00FB068B" w:rsidRPr="00230538" w:rsidRDefault="002B7C39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Kitosan </w:t>
            </w:r>
            <w:r w:rsidR="006177AF" w:rsidRPr="00230538">
              <w:rPr>
                <w:rFonts w:ascii="Times New Roman" w:hAnsi="Times New Roman" w:cs="Times New Roman"/>
                <w:sz w:val="23"/>
                <w:szCs w:val="23"/>
              </w:rPr>
              <w:t>Aktif madde h</w:t>
            </w:r>
            <w:r w:rsidR="009368A4" w:rsidRPr="00230538">
              <w:rPr>
                <w:rFonts w:ascii="Times New Roman" w:hAnsi="Times New Roman" w:cs="Times New Roman"/>
                <w:sz w:val="23"/>
                <w:szCs w:val="23"/>
              </w:rPr>
              <w:t>emostaz</w:t>
            </w:r>
            <w:r w:rsidR="00FB068B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ve daha sonra hastane kullanımında yaranın iyileşmesini sağlayacak makrofaj migrasyonunu sağlamalı</w:t>
            </w:r>
            <w:r w:rsidR="007A6C4E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ve a</w:t>
            </w:r>
            <w:r w:rsidR="00FB068B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ktif madde yara iyileşmesinin proliferatif fazında granülasyon hızını artırmalıdır. Yara bölgesinde kademeli olarak fibroblast proliferasyonunu sağlamalıdır. </w:t>
            </w:r>
          </w:p>
          <w:p w14:paraId="01E76D13" w14:textId="59FA1F8A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Operasyon bölgesinde </w:t>
            </w:r>
            <w:r w:rsidR="00CE4F05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yaralının </w:t>
            </w:r>
            <w:r w:rsidR="0027026D" w:rsidRPr="00230538">
              <w:rPr>
                <w:rFonts w:ascii="Times New Roman" w:hAnsi="Times New Roman" w:cs="Times New Roman"/>
                <w:sz w:val="23"/>
                <w:szCs w:val="23"/>
              </w:rPr>
              <w:t>ve/veya</w:t>
            </w:r>
            <w:r w:rsidR="00CE4F05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debriman-ameliyat gibi vakalar sonrasında arter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, arteoritler, kapiller, venüller ve ven kanamaları olan tüm vakalarda ve ayrıca kan sulandırıcı kullanan yaralıların tüm arter, arterioller kapiller, venüller ve ven kanamaları olan tüm vakalarda kanamayı durdurabilme özelliği olmalıdır. </w:t>
            </w:r>
          </w:p>
          <w:p w14:paraId="265026E1" w14:textId="282D8FED" w:rsidR="00FB068B" w:rsidRPr="00230538" w:rsidRDefault="00A72211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Hemostazı</w:t>
            </w:r>
            <w:r w:rsidR="00FB068B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sağladıktan sonra 24 saate kadar tekrar kanama </w:t>
            </w:r>
            <w:r w:rsidR="00DD15B6" w:rsidRPr="00230538">
              <w:rPr>
                <w:rFonts w:ascii="Times New Roman" w:hAnsi="Times New Roman" w:cs="Times New Roman"/>
                <w:sz w:val="23"/>
                <w:szCs w:val="23"/>
              </w:rPr>
              <w:t>olmasını engellemelidir.</w:t>
            </w:r>
          </w:p>
          <w:p w14:paraId="7C39DFD9" w14:textId="4519215D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Ürün -20C </w:t>
            </w:r>
            <w:r w:rsidR="00DD15B6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ile 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+60C arasında</w:t>
            </w:r>
            <w:r w:rsidR="00DD15B6" w:rsidRPr="00230538">
              <w:rPr>
                <w:rFonts w:ascii="Times New Roman" w:hAnsi="Times New Roman" w:cs="Times New Roman"/>
                <w:sz w:val="23"/>
                <w:szCs w:val="23"/>
              </w:rPr>
              <w:t>ki ısılarda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etkinliği</w:t>
            </w:r>
            <w:r w:rsidR="007A6C4E" w:rsidRPr="00230538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ve ambalajı bozulmamalı</w:t>
            </w:r>
            <w:r w:rsidR="00DD15B6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ve 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hipotermi vakalarında </w:t>
            </w:r>
            <w:r w:rsidR="00A72211" w:rsidRPr="00230538">
              <w:rPr>
                <w:rFonts w:ascii="Times New Roman" w:hAnsi="Times New Roman" w:cs="Times New Roman"/>
                <w:sz w:val="23"/>
                <w:szCs w:val="23"/>
              </w:rPr>
              <w:t>kullanılabilmelidir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E6EA9C7" w14:textId="27B073D6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Heparin, </w:t>
            </w:r>
            <w:r w:rsidR="00A72211" w:rsidRPr="00230538">
              <w:rPr>
                <w:rFonts w:ascii="Times New Roman" w:hAnsi="Times New Roman" w:cs="Times New Roman"/>
                <w:sz w:val="23"/>
                <w:szCs w:val="23"/>
              </w:rPr>
              <w:t>k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omodin </w:t>
            </w:r>
            <w:r w:rsidR="00A72211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vb. 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gibi kan sulandırıcı </w:t>
            </w:r>
            <w:r w:rsidR="00A72211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ilaç 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kullanan yaralılarda kullanılabileceği ambalajında belirtmelidir. </w:t>
            </w:r>
          </w:p>
          <w:p w14:paraId="5674140E" w14:textId="0C84CF9C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Patolojik </w:t>
            </w:r>
            <w:r w:rsidR="00A72211" w:rsidRPr="00230538">
              <w:rPr>
                <w:rFonts w:ascii="Times New Roman" w:hAnsi="Times New Roman" w:cs="Times New Roman"/>
                <w:sz w:val="23"/>
                <w:szCs w:val="23"/>
              </w:rPr>
              <w:t>k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oagülopati vakalarında kanama kontrol altına almaya yardımcı olmalıdır. </w:t>
            </w:r>
          </w:p>
          <w:p w14:paraId="3E3231FB" w14:textId="77777777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Bakteri, virüs ve diğer mikroorganizmaları taşıma riski olmamalıdır.</w:t>
            </w:r>
          </w:p>
          <w:p w14:paraId="26B43C4F" w14:textId="77777777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Yara bölgesinde ilave tahriş, tahribat ve ısı oluşturulmamalıdır. </w:t>
            </w:r>
          </w:p>
          <w:p w14:paraId="6B7A592B" w14:textId="77777777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Deminarilize olup protein ve lipit molekülleri içermemeli ve bağışıklık tepkisi tehlikesi olmamalıdır.</w:t>
            </w:r>
          </w:p>
          <w:p w14:paraId="4FBBC8D9" w14:textId="6553A015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Aktif maddenin antibakteriyel özelliği olmalıdır.</w:t>
            </w:r>
          </w:p>
          <w:p w14:paraId="7214FAFB" w14:textId="77777777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Bandaj çıkarıldıktan sonra geriye kalan kitosan-R en geç 15 gün içinde vücut tarafından emilebilir olmalıdır. </w:t>
            </w:r>
          </w:p>
          <w:p w14:paraId="29ED5A55" w14:textId="77777777" w:rsidR="00FB068B" w:rsidRPr="00230538" w:rsidRDefault="00FB068B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Koyun, sığır, domuz, alkol veya insan kaynaklı madde içermediği ambalajında belirtmelidir.</w:t>
            </w:r>
          </w:p>
          <w:p w14:paraId="3F7258C1" w14:textId="366DDB9B" w:rsidR="002B7C39" w:rsidRPr="00230538" w:rsidRDefault="002B7C39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Ambalaj şekli steril tekli vakumlu paketlerde, darbe, delinme, nem ve ısıdan etkilenmeyecek şekilde hâkî renkte, askeri gece görüş sistemleriyle karanlık ortamda okunabilir koyu sarı renkte </w:t>
            </w:r>
            <w:r w:rsidR="00CA53E5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veya </w:t>
            </w:r>
            <w:r w:rsidR="00CA53E5" w:rsidRPr="002305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sezgisel</w:t>
            </w:r>
            <w:r w:rsidRPr="002305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çentiklere sahip kolay açılabilir </w:t>
            </w:r>
            <w:r w:rsidR="00CA53E5" w:rsidRPr="002305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ambalajda Türkçe</w:t>
            </w:r>
            <w:r w:rsidRPr="002305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veya görsel kullanım </w:t>
            </w:r>
            <w:r w:rsidR="00CA53E5" w:rsidRPr="002305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bilgilerine sahip </w:t>
            </w:r>
            <w:r w:rsidR="00CA53E5" w:rsidRPr="00230538">
              <w:rPr>
                <w:rFonts w:ascii="Times New Roman" w:hAnsi="Times New Roman" w:cs="Times New Roman"/>
                <w:sz w:val="23"/>
                <w:szCs w:val="23"/>
              </w:rPr>
              <w:t>olmalıdır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167CC76" w14:textId="75D077F1" w:rsidR="002C4646" w:rsidRPr="00230538" w:rsidRDefault="007A6C4E" w:rsidP="00536936">
            <w:pPr>
              <w:pStyle w:val="ListeParagraf"/>
              <w:numPr>
                <w:ilvl w:val="0"/>
                <w:numId w:val="20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Ambalaj; k</w:t>
            </w:r>
            <w:r w:rsidR="00FB068B" w:rsidRPr="00230538">
              <w:rPr>
                <w:rFonts w:ascii="Times New Roman" w:hAnsi="Times New Roman" w:cs="Times New Roman"/>
                <w:sz w:val="23"/>
                <w:szCs w:val="23"/>
              </w:rPr>
              <w:t>ullanıcı tek elle ve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/veya paketi</w:t>
            </w:r>
            <w:r w:rsidR="00FB068B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bir şekilde sabitledikten </w:t>
            </w:r>
            <w:r w:rsidR="00A75089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sonra kolaylıkta </w:t>
            </w:r>
            <w:r w:rsidR="0084327A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açabilecek </w:t>
            </w:r>
            <w:r w:rsidR="00A75089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dizaynda </w:t>
            </w:r>
            <w:r w:rsidR="0084327A" w:rsidRPr="00230538">
              <w:rPr>
                <w:rFonts w:ascii="Times New Roman" w:hAnsi="Times New Roman" w:cs="Times New Roman"/>
                <w:sz w:val="23"/>
                <w:szCs w:val="23"/>
              </w:rPr>
              <w:t>olmalıdır.</w:t>
            </w:r>
          </w:p>
          <w:p w14:paraId="7B0519AA" w14:textId="2A4F06A7" w:rsidR="0084327A" w:rsidRPr="00230538" w:rsidRDefault="00B43970" w:rsidP="00536936">
            <w:pPr>
              <w:pStyle w:val="ListeParagraf"/>
              <w:spacing w:before="120" w:after="12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230538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SİLİNDİR</w:t>
            </w:r>
            <w:r w:rsidR="0084327A" w:rsidRPr="00230538">
              <w:rPr>
                <w:rFonts w:ascii="Times New Roman" w:hAnsi="Times New Roman"/>
                <w:b/>
                <w:bCs/>
                <w:sz w:val="23"/>
                <w:szCs w:val="23"/>
                <w:u w:val="single"/>
              </w:rPr>
              <w:t xml:space="preserve"> TAMPON</w:t>
            </w:r>
          </w:p>
          <w:p w14:paraId="1D9FC31F" w14:textId="7A3E57CA" w:rsidR="00DB3562" w:rsidRPr="00230538" w:rsidRDefault="00A72211" w:rsidP="00536936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51" w:right="277" w:hanging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</w:pPr>
            <w:r w:rsidRPr="00230538">
              <w:rPr>
                <w:rFonts w:ascii="Times New Roman" w:eastAsiaTheme="minorEastAsia" w:hAnsi="Times New Roman" w:cs="Times New Roman"/>
                <w:sz w:val="23"/>
                <w:szCs w:val="23"/>
                <w:lang w:eastAsia="zh-CN"/>
              </w:rPr>
              <w:t>Ü</w:t>
            </w:r>
            <w:r w:rsidR="00B43970" w:rsidRPr="00230538">
              <w:rPr>
                <w:rFonts w:ascii="Times New Roman" w:eastAsiaTheme="minorEastAsia" w:hAnsi="Times New Roman" w:cs="Times New Roman"/>
                <w:sz w:val="23"/>
                <w:szCs w:val="23"/>
                <w:lang w:eastAsia="zh-CN"/>
              </w:rPr>
              <w:t>rün</w:t>
            </w:r>
            <w:bookmarkStart w:id="0" w:name="_Hlk121143884"/>
            <w:r w:rsidR="00587A7E" w:rsidRPr="00230538">
              <w:rPr>
                <w:rFonts w:ascii="Times New Roman" w:eastAsiaTheme="minorEastAsia" w:hAnsi="Times New Roman" w:cs="Times New Roman"/>
                <w:sz w:val="23"/>
                <w:szCs w:val="23"/>
                <w:lang w:eastAsia="zh-CN"/>
              </w:rPr>
              <w:t xml:space="preserve"> </w:t>
            </w:r>
            <w:r w:rsidR="00CE4F05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>gazlı bez formunda emil</w:t>
            </w:r>
            <w:r w:rsidR="00587A7E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>e</w:t>
            </w:r>
            <w:r w:rsidR="00CE4F05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>meyen</w:t>
            </w:r>
            <w:r w:rsidR="00587A7E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>,</w:t>
            </w:r>
            <w:r w:rsidR="00CE4F05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="00DB3562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 xml:space="preserve">kitosan içeren özel formülden </w:t>
            </w:r>
            <w:r w:rsidR="00587A7E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 xml:space="preserve">imal </w:t>
            </w:r>
            <w:r w:rsidR="00CE4F05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 xml:space="preserve">hemostatik </w:t>
            </w:r>
            <w:bookmarkEnd w:id="0"/>
            <w:r w:rsidR="00CE4F05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 xml:space="preserve">etkili </w:t>
            </w:r>
            <w:r w:rsidR="0084327A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>olmalıdır.</w:t>
            </w:r>
            <w:r w:rsidR="00DB3562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  <w:t xml:space="preserve"> </w:t>
            </w:r>
          </w:p>
          <w:p w14:paraId="56CCC5EB" w14:textId="77777777" w:rsidR="00DB3562" w:rsidRPr="00230538" w:rsidRDefault="00DB3562" w:rsidP="00536936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51" w:right="277" w:hanging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</w:pPr>
            <w:r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  <w:t xml:space="preserve">Ürün ebatları 7,6 cm x 50 cm, 7,6 cm x 100 cm, 7,6 cm x 150 cm, </w:t>
            </w: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>7,6 cm x 300 cm (+/- 0,5 cm) silindir şeklinde olmalıdır.</w:t>
            </w:r>
            <w:r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  <w:t xml:space="preserve"> </w:t>
            </w:r>
          </w:p>
          <w:p w14:paraId="532A0475" w14:textId="594184C6" w:rsidR="0084327A" w:rsidRPr="00230538" w:rsidRDefault="00DB3562" w:rsidP="00536936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51" w:right="277" w:hanging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</w:pPr>
            <w:r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  <w:t>Ürün en fazla 2-5 dakika içerisinde pıhtılaşma işlemi ile kanamayı durdurmalıdır.</w:t>
            </w:r>
          </w:p>
          <w:p w14:paraId="0DF9DDC4" w14:textId="1BA21A2D" w:rsidR="0084327A" w:rsidRPr="00230538" w:rsidRDefault="00CE4F05" w:rsidP="00536936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51" w:right="277" w:hanging="426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</w:pPr>
            <w:r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>Ü</w:t>
            </w:r>
            <w:r w:rsidR="009368A4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  <w:t>rün</w:t>
            </w:r>
            <w:r w:rsidR="009368A4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shd w:val="clear" w:color="auto" w:fill="FFFFFF"/>
                <w:lang w:eastAsia="zh-CN"/>
              </w:rPr>
              <w:t>, vücut</w:t>
            </w:r>
            <w:r w:rsidR="0084327A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shd w:val="clear" w:color="auto" w:fill="FFFFFF"/>
                <w:lang w:eastAsia="zh-CN"/>
              </w:rPr>
              <w:t xml:space="preserve"> içi uygulamalar için imal edilmiş olmalı</w:t>
            </w: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shd w:val="clear" w:color="auto" w:fill="FFFFFF"/>
                <w:lang w:eastAsia="zh-CN"/>
              </w:rPr>
              <w:t xml:space="preserve"> ve b</w:t>
            </w:r>
            <w:r w:rsidR="0084327A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shd w:val="clear" w:color="auto" w:fill="FFFFFF"/>
                <w:lang w:eastAsia="zh-CN"/>
              </w:rPr>
              <w:t xml:space="preserve">u özelliği orijinal kullanım kılavuz ve </w:t>
            </w:r>
            <w:r w:rsidR="00230538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shd w:val="clear" w:color="auto" w:fill="FFFFFF"/>
                <w:lang w:eastAsia="zh-CN"/>
              </w:rPr>
              <w:t>kataloğunda</w:t>
            </w:r>
            <w:r w:rsidR="0084327A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shd w:val="clear" w:color="auto" w:fill="FFFFFF"/>
                <w:lang w:eastAsia="zh-CN"/>
              </w:rPr>
              <w:t xml:space="preserve"> görülebilmelidir.</w:t>
            </w:r>
          </w:p>
          <w:p w14:paraId="627D4753" w14:textId="6AB3F836" w:rsidR="00DB3562" w:rsidRPr="00230538" w:rsidRDefault="0084327A" w:rsidP="00536936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51" w:right="277" w:hanging="426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</w:pP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shd w:val="clear" w:color="auto" w:fill="FFFFFF"/>
                <w:lang w:eastAsia="zh-CN"/>
              </w:rPr>
              <w:t>Ürün, bağışıklık sistemini tetiklememeli, doku iyileşmesinde olumsuz etkileri olmamalıdır.</w:t>
            </w:r>
            <w:r w:rsidR="00587A7E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shd w:val="clear" w:color="auto" w:fill="FFFFFF"/>
                <w:lang w:eastAsia="zh-CN"/>
              </w:rPr>
              <w:t xml:space="preserve"> Anti-alerjik olmalı</w:t>
            </w:r>
            <w:r w:rsidR="00CE4F05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 ve </w:t>
            </w: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kullanılan yara bölgesinde yanma </w:t>
            </w:r>
            <w:r w:rsidR="00CE4F05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>ve/</w:t>
            </w: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veya kızarıklık </w:t>
            </w:r>
            <w:r w:rsidR="00DB3562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>yapmamalıdı</w:t>
            </w: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r. </w:t>
            </w:r>
            <w:r w:rsidR="00DB3562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  <w:t xml:space="preserve"> </w:t>
            </w:r>
          </w:p>
          <w:p w14:paraId="784AF6BD" w14:textId="39A72322" w:rsidR="00DB3562" w:rsidRPr="00230538" w:rsidRDefault="00DB3562" w:rsidP="00536936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51" w:right="277" w:hanging="426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</w:pPr>
            <w:r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  <w:t xml:space="preserve">Ürün, turnike ve basınç uygulanamayan yaralanmalarda kullanılabilir özellikte </w:t>
            </w: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olmalıdır. </w:t>
            </w:r>
          </w:p>
          <w:p w14:paraId="63A3CA03" w14:textId="1B96089D" w:rsidR="0084327A" w:rsidRPr="00230538" w:rsidRDefault="0084327A" w:rsidP="00536936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51" w:right="277" w:hanging="426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</w:pP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Ürün, eldiven ve cerrahi aletlere yapışmamalıdır. </w:t>
            </w:r>
          </w:p>
          <w:p w14:paraId="200765CD" w14:textId="77777777" w:rsidR="008D2325" w:rsidRPr="00230538" w:rsidRDefault="0084327A" w:rsidP="00536936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Ürün </w:t>
            </w:r>
            <w:r w:rsidR="00026012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>oda sıcaklığında güvenle saklanabilmeli v</w:t>
            </w: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akumlu poşetlerde paketlenmiş </w:t>
            </w:r>
            <w:r w:rsidR="00DB3562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ve </w:t>
            </w:r>
            <w:r w:rsidR="00DB3562"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  <w:t xml:space="preserve">Gama Işını ile </w:t>
            </w:r>
            <w:r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 xml:space="preserve">steril olmalıdır. </w:t>
            </w:r>
          </w:p>
          <w:p w14:paraId="18F9AB24" w14:textId="0E93E375" w:rsidR="00C76B30" w:rsidRPr="00230538" w:rsidRDefault="00C76B30" w:rsidP="00536936">
            <w:pPr>
              <w:spacing w:line="360" w:lineRule="auto"/>
              <w:ind w:left="451" w:right="277" w:hanging="426"/>
              <w:jc w:val="both"/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</w:pPr>
            <w:r w:rsidRPr="00230538">
              <w:rPr>
                <w:rFonts w:ascii="Times New Roman" w:eastAsiaTheme="minorEastAsia" w:hAnsi="Times New Roman" w:cs="Times New Roman"/>
                <w:b/>
                <w:bCs/>
                <w:color w:val="171717" w:themeColor="background2" w:themeShade="1A"/>
                <w:sz w:val="23"/>
                <w:szCs w:val="23"/>
                <w:u w:val="single"/>
                <w:lang w:eastAsia="zh-CN"/>
              </w:rPr>
              <w:lastRenderedPageBreak/>
              <w:t>POLİMERİK İNTERAKTİF</w:t>
            </w:r>
            <w:r w:rsidR="00AF72E7">
              <w:rPr>
                <w:rFonts w:ascii="Times New Roman" w:eastAsiaTheme="minorEastAsia" w:hAnsi="Times New Roman" w:cs="Times New Roman"/>
                <w:b/>
                <w:bCs/>
                <w:color w:val="171717" w:themeColor="background2" w:themeShade="1A"/>
                <w:sz w:val="23"/>
                <w:szCs w:val="23"/>
                <w:u w:val="single"/>
                <w:lang w:eastAsia="zh-CN"/>
              </w:rPr>
              <w:t xml:space="preserve"> </w:t>
            </w:r>
            <w:r w:rsidR="00076076" w:rsidRPr="00230538">
              <w:rPr>
                <w:rFonts w:ascii="Times New Roman" w:eastAsiaTheme="minorEastAsia" w:hAnsi="Times New Roman" w:cs="Times New Roman"/>
                <w:b/>
                <w:bCs/>
                <w:color w:val="171717" w:themeColor="background2" w:themeShade="1A"/>
                <w:sz w:val="23"/>
                <w:szCs w:val="23"/>
                <w:u w:val="single"/>
                <w:lang w:eastAsia="zh-CN"/>
              </w:rPr>
              <w:t>TAMPON</w:t>
            </w:r>
            <w:r w:rsidR="00076076" w:rsidRPr="00230538">
              <w:rPr>
                <w:rFonts w:ascii="Times New Roman" w:eastAsiaTheme="minorEastAsia" w:hAnsi="Times New Roman" w:cs="Times New Roman"/>
                <w:color w:val="171717" w:themeColor="background2" w:themeShade="1A"/>
                <w:sz w:val="23"/>
                <w:szCs w:val="23"/>
                <w:lang w:eastAsia="zh-CN"/>
              </w:rPr>
              <w:t>:</w:t>
            </w:r>
          </w:p>
          <w:p w14:paraId="77545678" w14:textId="690CDC1E" w:rsidR="00C76B30" w:rsidRPr="00FD0749" w:rsidRDefault="0039014D" w:rsidP="00536936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Ürün</w:t>
            </w:r>
            <w:r w:rsidR="006728F9">
              <w:rPr>
                <w:rFonts w:ascii="Times New Roman" w:hAnsi="Times New Roman" w:cs="Times New Roman"/>
                <w:sz w:val="23"/>
                <w:szCs w:val="23"/>
              </w:rPr>
              <w:t>ün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28F9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içeriğinde </w:t>
            </w:r>
            <w:r w:rsidR="006728F9">
              <w:rPr>
                <w:rFonts w:ascii="Times New Roman" w:hAnsi="Times New Roman" w:cs="Times New Roman"/>
                <w:sz w:val="23"/>
                <w:szCs w:val="23"/>
              </w:rPr>
              <w:t>surfaktan(f68)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076076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2751">
              <w:rPr>
                <w:rFonts w:ascii="Times New Roman" w:hAnsi="Times New Roman" w:cs="Times New Roman"/>
                <w:sz w:val="23"/>
                <w:szCs w:val="23"/>
              </w:rPr>
              <w:t>g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liserol ve süper emici </w:t>
            </w:r>
            <w:r w:rsidR="006E2751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tarch </w:t>
            </w:r>
            <w:r w:rsidR="006E2751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r w:rsidR="006E27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polimerleri bulundurmalıdır.</w:t>
            </w:r>
            <w:r w:rsidR="00FD07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28F9" w:rsidRPr="00FD0749">
              <w:rPr>
                <w:rFonts w:ascii="Times New Roman" w:hAnsi="Times New Roman" w:cs="Times New Roman"/>
                <w:sz w:val="23"/>
                <w:szCs w:val="23"/>
              </w:rPr>
              <w:t>İçeriğindeki surfaktan</w:t>
            </w:r>
            <w:r w:rsidR="00222C67" w:rsidRPr="00FD0749">
              <w:rPr>
                <w:rFonts w:ascii="Times New Roman" w:hAnsi="Times New Roman" w:cs="Times New Roman"/>
                <w:sz w:val="23"/>
                <w:szCs w:val="23"/>
              </w:rPr>
              <w:t>(f68)</w:t>
            </w:r>
            <w:r w:rsidR="00C76B30" w:rsidRPr="00FD0749">
              <w:rPr>
                <w:rFonts w:ascii="Times New Roman" w:hAnsi="Times New Roman" w:cs="Times New Roman"/>
                <w:sz w:val="23"/>
                <w:szCs w:val="23"/>
              </w:rPr>
              <w:t xml:space="preserve"> non-toksik</w:t>
            </w:r>
            <w:r w:rsidR="000D3711" w:rsidRPr="00FD0749">
              <w:rPr>
                <w:rFonts w:ascii="Times New Roman" w:hAnsi="Times New Roman" w:cs="Times New Roman"/>
                <w:sz w:val="23"/>
                <w:szCs w:val="23"/>
              </w:rPr>
              <w:t xml:space="preserve"> ve</w:t>
            </w:r>
            <w:r w:rsidR="00C76B30" w:rsidRPr="00FD0749">
              <w:rPr>
                <w:rFonts w:ascii="Times New Roman" w:hAnsi="Times New Roman" w:cs="Times New Roman"/>
                <w:sz w:val="23"/>
                <w:szCs w:val="23"/>
              </w:rPr>
              <w:t xml:space="preserve"> non-iyonik olmalı uygulandığı bölge</w:t>
            </w:r>
            <w:r w:rsidR="008031D7" w:rsidRPr="00FD0749">
              <w:rPr>
                <w:rFonts w:ascii="Times New Roman" w:hAnsi="Times New Roman" w:cs="Times New Roman"/>
                <w:sz w:val="23"/>
                <w:szCs w:val="23"/>
              </w:rPr>
              <w:t xml:space="preserve">de </w:t>
            </w:r>
            <w:r w:rsidR="00C76B30" w:rsidRPr="00FD0749">
              <w:rPr>
                <w:rFonts w:ascii="Times New Roman" w:hAnsi="Times New Roman" w:cs="Times New Roman"/>
                <w:sz w:val="23"/>
                <w:szCs w:val="23"/>
              </w:rPr>
              <w:t>ikinci bir temizleme ajanı</w:t>
            </w:r>
            <w:r w:rsidR="00FD0749">
              <w:rPr>
                <w:rFonts w:ascii="Times New Roman" w:hAnsi="Times New Roman" w:cs="Times New Roman"/>
                <w:sz w:val="23"/>
                <w:szCs w:val="23"/>
              </w:rPr>
              <w:t>n kullanımına</w:t>
            </w:r>
            <w:r w:rsidR="00C76B30" w:rsidRPr="00FD0749">
              <w:rPr>
                <w:rFonts w:ascii="Times New Roman" w:hAnsi="Times New Roman" w:cs="Times New Roman"/>
                <w:sz w:val="23"/>
                <w:szCs w:val="23"/>
              </w:rPr>
              <w:t xml:space="preserve"> gerek</w:t>
            </w:r>
            <w:r w:rsidR="00FD0749">
              <w:rPr>
                <w:rFonts w:ascii="Times New Roman" w:hAnsi="Times New Roman" w:cs="Times New Roman"/>
                <w:sz w:val="23"/>
                <w:szCs w:val="23"/>
              </w:rPr>
              <w:t xml:space="preserve"> kalmamalıdır.</w:t>
            </w:r>
          </w:p>
          <w:p w14:paraId="40FDC78E" w14:textId="272CF715" w:rsidR="00C76B30" w:rsidRPr="00230538" w:rsidRDefault="0039014D" w:rsidP="00536936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Ürün o</w:t>
            </w:r>
            <w:r w:rsidR="00C76B30" w:rsidRPr="00230538">
              <w:rPr>
                <w:rFonts w:ascii="Times New Roman" w:hAnsi="Times New Roman" w:cs="Times New Roman"/>
                <w:sz w:val="23"/>
                <w:szCs w:val="23"/>
              </w:rPr>
              <w:t>ksijen,</w:t>
            </w:r>
            <w:r w:rsidR="00A36D1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76B30" w:rsidRPr="00230538">
              <w:rPr>
                <w:rFonts w:ascii="Times New Roman" w:hAnsi="Times New Roman" w:cs="Times New Roman"/>
                <w:sz w:val="23"/>
                <w:szCs w:val="23"/>
              </w:rPr>
              <w:t>karbondioksit ve nem buharı geçiren,</w:t>
            </w:r>
            <w:r w:rsidR="00A36D1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76B30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sıvı ve bakteri geçişine izin vermeyen yarı geçirgen ince bir film tabakasına sahip olmalı operasyon bölgesinde </w:t>
            </w:r>
            <w:r w:rsidR="004D5F83">
              <w:rPr>
                <w:rFonts w:ascii="Times New Roman" w:hAnsi="Times New Roman" w:cs="Times New Roman"/>
                <w:sz w:val="23"/>
                <w:szCs w:val="23"/>
              </w:rPr>
              <w:t xml:space="preserve">kalabilmeli bu hali ile </w:t>
            </w:r>
            <w:r w:rsidR="00C76B30" w:rsidRPr="00230538">
              <w:rPr>
                <w:rFonts w:ascii="Times New Roman" w:hAnsi="Times New Roman" w:cs="Times New Roman"/>
                <w:sz w:val="23"/>
                <w:szCs w:val="23"/>
              </w:rPr>
              <w:t>kullanım kolaylı</w:t>
            </w:r>
            <w:r w:rsidR="00E90E84">
              <w:rPr>
                <w:rFonts w:ascii="Times New Roman" w:hAnsi="Times New Roman" w:cs="Times New Roman"/>
                <w:sz w:val="23"/>
                <w:szCs w:val="23"/>
              </w:rPr>
              <w:t>ğı</w:t>
            </w:r>
            <w:r w:rsidR="00C76B30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sağlamalıdır. </w:t>
            </w:r>
          </w:p>
          <w:p w14:paraId="14C4B22C" w14:textId="2B66000F" w:rsidR="00C76B30" w:rsidRPr="00230538" w:rsidRDefault="00C76B30" w:rsidP="00536936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Ürün</w:t>
            </w:r>
            <w:r w:rsidR="008031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otolitik </w:t>
            </w:r>
            <w:r w:rsidR="00A36D1E" w:rsidRPr="00230538">
              <w:rPr>
                <w:rFonts w:ascii="Times New Roman" w:hAnsi="Times New Roman" w:cs="Times New Roman"/>
                <w:sz w:val="23"/>
                <w:szCs w:val="23"/>
              </w:rPr>
              <w:t>debri</w:t>
            </w:r>
            <w:r w:rsidR="00A36D1E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A36D1E" w:rsidRPr="00230538">
              <w:rPr>
                <w:rFonts w:ascii="Times New Roman" w:hAnsi="Times New Roman" w:cs="Times New Roman"/>
                <w:sz w:val="23"/>
                <w:szCs w:val="23"/>
              </w:rPr>
              <w:t>man</w:t>
            </w:r>
            <w:r w:rsidR="00A36D1E">
              <w:rPr>
                <w:rFonts w:ascii="Times New Roman" w:hAnsi="Times New Roman" w:cs="Times New Roman"/>
                <w:sz w:val="23"/>
                <w:szCs w:val="23"/>
              </w:rPr>
              <w:t>ı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destekler özellikte </w:t>
            </w:r>
            <w:r w:rsidR="0039014D" w:rsidRPr="00230538">
              <w:rPr>
                <w:rFonts w:ascii="Times New Roman" w:hAnsi="Times New Roman" w:cs="Times New Roman"/>
                <w:sz w:val="23"/>
                <w:szCs w:val="23"/>
              </w:rPr>
              <w:t>olmalıdır. Kapiller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kan akışını </w:t>
            </w:r>
            <w:r w:rsidR="0039014D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düzenlemeli, </w:t>
            </w:r>
            <w:r w:rsidR="006017F4">
              <w:rPr>
                <w:rFonts w:ascii="Times New Roman" w:hAnsi="Times New Roman" w:cs="Times New Roman"/>
                <w:sz w:val="23"/>
                <w:szCs w:val="23"/>
              </w:rPr>
              <w:t xml:space="preserve">dokudaki </w:t>
            </w:r>
            <w:r w:rsidR="0039014D" w:rsidRPr="00230538">
              <w:rPr>
                <w:rFonts w:ascii="Times New Roman" w:hAnsi="Times New Roman" w:cs="Times New Roman"/>
                <w:sz w:val="23"/>
                <w:szCs w:val="23"/>
              </w:rPr>
              <w:t>ödem</w:t>
            </w:r>
            <w:r w:rsidR="00862BE7">
              <w:rPr>
                <w:rFonts w:ascii="Times New Roman" w:hAnsi="Times New Roman" w:cs="Times New Roman"/>
                <w:sz w:val="23"/>
                <w:szCs w:val="23"/>
              </w:rPr>
              <w:t>i çözerken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2BE7" w:rsidRPr="00230538">
              <w:rPr>
                <w:rFonts w:ascii="Times New Roman" w:hAnsi="Times New Roman" w:cs="Times New Roman"/>
                <w:sz w:val="23"/>
                <w:szCs w:val="23"/>
              </w:rPr>
              <w:t>enflamasyon</w:t>
            </w:r>
            <w:r w:rsidR="00862BE7">
              <w:rPr>
                <w:rFonts w:ascii="Times New Roman" w:hAnsi="Times New Roman" w:cs="Times New Roman"/>
                <w:sz w:val="23"/>
                <w:szCs w:val="23"/>
              </w:rPr>
              <w:t xml:space="preserve"> yapmamalı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ve hasar</w:t>
            </w:r>
            <w:r w:rsidR="00862BE7">
              <w:rPr>
                <w:rFonts w:ascii="Times New Roman" w:hAnsi="Times New Roman" w:cs="Times New Roman"/>
                <w:sz w:val="23"/>
                <w:szCs w:val="23"/>
              </w:rPr>
              <w:t xml:space="preserve">lı 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doku</w:t>
            </w:r>
            <w:r w:rsidR="00AE4218">
              <w:rPr>
                <w:rFonts w:ascii="Times New Roman" w:hAnsi="Times New Roman" w:cs="Times New Roman"/>
                <w:sz w:val="23"/>
                <w:szCs w:val="23"/>
              </w:rPr>
              <w:t>da ki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E4218">
              <w:rPr>
                <w:rFonts w:ascii="Times New Roman" w:hAnsi="Times New Roman" w:cs="Times New Roman"/>
                <w:sz w:val="23"/>
                <w:szCs w:val="23"/>
              </w:rPr>
              <w:t>harabiyeti azaltmalıdır.</w:t>
            </w:r>
          </w:p>
          <w:p w14:paraId="7637088C" w14:textId="318B9DF8" w:rsidR="00C76B30" w:rsidRPr="00230538" w:rsidRDefault="00C76B30" w:rsidP="00536936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Ürün suda çözü</w:t>
            </w:r>
            <w:r w:rsidR="00D21109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en bileş</w:t>
            </w:r>
            <w:r w:rsidR="00D21109">
              <w:rPr>
                <w:rFonts w:ascii="Times New Roman" w:hAnsi="Times New Roman" w:cs="Times New Roman"/>
                <w:sz w:val="23"/>
                <w:szCs w:val="23"/>
              </w:rPr>
              <w:t>ik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li</w:t>
            </w:r>
            <w:r w:rsidR="00D21109">
              <w:rPr>
                <w:rFonts w:ascii="Times New Roman" w:hAnsi="Times New Roman" w:cs="Times New Roman"/>
                <w:sz w:val="23"/>
                <w:szCs w:val="23"/>
              </w:rPr>
              <w:t xml:space="preserve"> olup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içeriğindeki </w:t>
            </w:r>
            <w:r w:rsidR="00D21109">
              <w:rPr>
                <w:rFonts w:ascii="Times New Roman" w:hAnsi="Times New Roman" w:cs="Times New Roman"/>
                <w:sz w:val="23"/>
                <w:szCs w:val="23"/>
              </w:rPr>
              <w:t>g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liserol uygulan</w:t>
            </w:r>
            <w:r w:rsidR="00D21109">
              <w:rPr>
                <w:rFonts w:ascii="Times New Roman" w:hAnsi="Times New Roman" w:cs="Times New Roman"/>
                <w:sz w:val="23"/>
                <w:szCs w:val="23"/>
              </w:rPr>
              <w:t>dığı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bölgeyi nemlendir</w:t>
            </w:r>
            <w:r w:rsidR="0089505B">
              <w:rPr>
                <w:rFonts w:ascii="Times New Roman" w:hAnsi="Times New Roman" w:cs="Times New Roman"/>
                <w:sz w:val="23"/>
                <w:szCs w:val="23"/>
              </w:rPr>
              <w:t>irken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kötü kokuları giderme özelliğine sahip olmalıdır.</w:t>
            </w:r>
          </w:p>
          <w:p w14:paraId="06072EF6" w14:textId="5C827DF3" w:rsidR="00C76B30" w:rsidRPr="00230538" w:rsidRDefault="00C76B30" w:rsidP="00536936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Ürün subk</w:t>
            </w:r>
            <w:r w:rsidR="00323ECB">
              <w:rPr>
                <w:rFonts w:ascii="Times New Roman" w:hAnsi="Times New Roman" w:cs="Times New Roman"/>
                <w:sz w:val="23"/>
                <w:szCs w:val="23"/>
              </w:rPr>
              <w:t>ü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tan </w:t>
            </w:r>
            <w:r w:rsidR="00FC2D10" w:rsidRPr="00230538">
              <w:rPr>
                <w:rFonts w:ascii="Times New Roman" w:hAnsi="Times New Roman" w:cs="Times New Roman"/>
                <w:sz w:val="23"/>
                <w:szCs w:val="23"/>
              </w:rPr>
              <w:t>dokud</w:t>
            </w:r>
            <w:r w:rsidR="00FC2D10">
              <w:rPr>
                <w:rFonts w:ascii="Times New Roman" w:hAnsi="Times New Roman" w:cs="Times New Roman"/>
                <w:sz w:val="23"/>
                <w:szCs w:val="23"/>
              </w:rPr>
              <w:t>an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ve </w:t>
            </w:r>
            <w:r w:rsidR="00862BE7">
              <w:rPr>
                <w:rFonts w:ascii="Times New Roman" w:hAnsi="Times New Roman" w:cs="Times New Roman"/>
                <w:sz w:val="23"/>
                <w:szCs w:val="23"/>
              </w:rPr>
              <w:t>ciltten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kapiller etki ile sodyum iyonlarını emerek ağrı iletimini kesmeye yardımcı olmalıdır.</w:t>
            </w:r>
          </w:p>
          <w:p w14:paraId="02738DF2" w14:textId="0E516094" w:rsidR="00C76B30" w:rsidRPr="00230538" w:rsidRDefault="00C76B30" w:rsidP="00536936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Ürün uygulandığı bölgede vücut sıvısı ile aktive olup tedricen salınmalı ve ürün ağırlığının en az 10 katı sıvı emebilmelidir.</w:t>
            </w:r>
          </w:p>
          <w:p w14:paraId="296F4BEE" w14:textId="0E731EB0" w:rsidR="0039014D" w:rsidRPr="00230538" w:rsidRDefault="0039014D" w:rsidP="00536936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Ürün uygulandığı bölge</w:t>
            </w:r>
            <w:r w:rsidR="007B3345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bookmarkStart w:id="1" w:name="_GoBack"/>
            <w:bookmarkEnd w:id="1"/>
            <w:r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e </w:t>
            </w:r>
            <w:r w:rsidR="001D223C">
              <w:rPr>
                <w:rFonts w:ascii="Times New Roman" w:hAnsi="Times New Roman" w:cs="Times New Roman"/>
                <w:sz w:val="23"/>
                <w:szCs w:val="23"/>
              </w:rPr>
              <w:t>uzun süreli kalabilmeli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, lateks içermemeli ve non alerjik olmalıdır</w:t>
            </w:r>
            <w:r w:rsidR="001E275D" w:rsidRPr="0023053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FFA0B1C" w14:textId="619CF6BE" w:rsidR="00C76B30" w:rsidRPr="00230538" w:rsidRDefault="001E275D" w:rsidP="00536936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1" w:right="277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Ürün en az clas</w:t>
            </w:r>
            <w:r w:rsidR="00457F0F" w:rsidRPr="00230538">
              <w:rPr>
                <w:rFonts w:ascii="Times New Roman" w:hAnsi="Times New Roman" w:cs="Times New Roman"/>
                <w:sz w:val="23"/>
                <w:szCs w:val="23"/>
              </w:rPr>
              <w:t>s II</w:t>
            </w:r>
            <w:r w:rsidR="00323ECB">
              <w:rPr>
                <w:rFonts w:ascii="Times New Roman" w:hAnsi="Times New Roman" w:cs="Times New Roman"/>
                <w:sz w:val="23"/>
                <w:szCs w:val="23"/>
              </w:rPr>
              <w:t>-B</w:t>
            </w:r>
            <w:r w:rsidR="00457F0F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36D1E">
              <w:rPr>
                <w:rFonts w:ascii="Times New Roman" w:hAnsi="Times New Roman" w:cs="Times New Roman"/>
                <w:sz w:val="23"/>
                <w:szCs w:val="23"/>
              </w:rPr>
              <w:t xml:space="preserve">sınıflandırma </w:t>
            </w:r>
            <w:r w:rsidR="00457F0F" w:rsidRPr="00230538">
              <w:rPr>
                <w:rFonts w:ascii="Times New Roman" w:hAnsi="Times New Roman" w:cs="Times New Roman"/>
                <w:sz w:val="23"/>
                <w:szCs w:val="23"/>
              </w:rPr>
              <w:t>olmalıdır.</w:t>
            </w:r>
          </w:p>
        </w:tc>
      </w:tr>
      <w:tr w:rsidR="0038792A" w:rsidRPr="0033483D" w14:paraId="7DEB36FA" w14:textId="77777777" w:rsidTr="00076076">
        <w:trPr>
          <w:trHeight w:val="1025"/>
        </w:trPr>
        <w:tc>
          <w:tcPr>
            <w:tcW w:w="1316" w:type="dxa"/>
          </w:tcPr>
          <w:p w14:paraId="35A5BF50" w14:textId="1B8B8F84" w:rsidR="0038792A" w:rsidRPr="00230538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lastRenderedPageBreak/>
              <w:t>Genel Hükümler:</w:t>
            </w:r>
          </w:p>
        </w:tc>
        <w:tc>
          <w:tcPr>
            <w:tcW w:w="8948" w:type="dxa"/>
            <w:shd w:val="clear" w:color="auto" w:fill="auto"/>
          </w:tcPr>
          <w:p w14:paraId="00B37330" w14:textId="77777777" w:rsidR="003C7095" w:rsidRPr="00230538" w:rsidRDefault="003C7095" w:rsidP="00536936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51" w:right="210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Ambalaj üzerinde son kullanma tarihi, LOT ve U</w:t>
            </w:r>
            <w:r w:rsidR="009C64B5" w:rsidRPr="00230538">
              <w:rPr>
                <w:rFonts w:ascii="Times New Roman" w:hAnsi="Times New Roman" w:cs="Times New Roman"/>
                <w:sz w:val="23"/>
                <w:szCs w:val="23"/>
              </w:rPr>
              <w:t>BB</w:t>
            </w:r>
            <w:r w:rsidR="00973316" w:rsidRPr="00230538">
              <w:rPr>
                <w:rFonts w:ascii="Times New Roman" w:hAnsi="Times New Roman" w:cs="Times New Roman"/>
                <w:sz w:val="23"/>
                <w:szCs w:val="23"/>
              </w:rPr>
              <w:t xml:space="preserve"> b</w:t>
            </w:r>
            <w:r w:rsidRPr="00230538">
              <w:rPr>
                <w:rFonts w:ascii="Times New Roman" w:hAnsi="Times New Roman" w:cs="Times New Roman"/>
                <w:sz w:val="23"/>
                <w:szCs w:val="23"/>
              </w:rPr>
              <w:t>ilgisi bulunmalıdır.</w:t>
            </w:r>
          </w:p>
          <w:p w14:paraId="20D747D3" w14:textId="49836B73" w:rsidR="00DB3562" w:rsidRPr="00230538" w:rsidRDefault="00DB3562" w:rsidP="00536936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51" w:right="210" w:hanging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0538"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zh-CN"/>
              </w:rPr>
              <w:t>Ürün, CE Belgeli ve Class III standardizasyon özelliklerine sahip olmalıdır.</w:t>
            </w:r>
          </w:p>
        </w:tc>
      </w:tr>
    </w:tbl>
    <w:p w14:paraId="43A9000B" w14:textId="77777777" w:rsidR="00CD6693" w:rsidRPr="0033483D" w:rsidRDefault="00CD6693" w:rsidP="0017618D">
      <w:pPr>
        <w:pStyle w:val="ListeParagraf"/>
        <w:tabs>
          <w:tab w:val="left" w:pos="284"/>
          <w:tab w:val="left" w:pos="426"/>
          <w:tab w:val="left" w:pos="3720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5737D23" w14:textId="77777777" w:rsidR="00DF7E83" w:rsidRPr="0033483D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948B11" w14:textId="77777777" w:rsidR="0038792A" w:rsidRPr="0033483D" w:rsidRDefault="0038792A" w:rsidP="00DF7E8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8792A" w:rsidRPr="0033483D" w:rsidSect="001C29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E65B3" w14:textId="77777777" w:rsidR="001B34EE" w:rsidRDefault="001B34EE" w:rsidP="0038792A">
      <w:pPr>
        <w:spacing w:after="0" w:line="240" w:lineRule="auto"/>
      </w:pPr>
      <w:r>
        <w:separator/>
      </w:r>
    </w:p>
  </w:endnote>
  <w:endnote w:type="continuationSeparator" w:id="0">
    <w:p w14:paraId="0D821520" w14:textId="77777777" w:rsidR="001B34EE" w:rsidRDefault="001B34E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E37DD" w14:textId="77777777" w:rsidR="001B34EE" w:rsidRDefault="001B34EE" w:rsidP="0038792A">
      <w:pPr>
        <w:spacing w:after="0" w:line="240" w:lineRule="auto"/>
      </w:pPr>
      <w:r>
        <w:separator/>
      </w:r>
    </w:p>
  </w:footnote>
  <w:footnote w:type="continuationSeparator" w:id="0">
    <w:p w14:paraId="72CB47C9" w14:textId="77777777" w:rsidR="001B34EE" w:rsidRDefault="001B34EE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0E9C" w14:textId="55EA73EE" w:rsidR="007114FE" w:rsidRPr="00DF4098" w:rsidRDefault="007114FE" w:rsidP="007114FE">
    <w:pPr>
      <w:spacing w:before="120" w:after="120" w:line="360" w:lineRule="auto"/>
      <w:jc w:val="both"/>
      <w:rPr>
        <w:rFonts w:ascii="Times New Roman" w:hAnsi="Times New Roman"/>
        <w:b/>
        <w:bCs/>
        <w:sz w:val="24"/>
        <w:szCs w:val="24"/>
        <w:u w:val="single"/>
      </w:rPr>
    </w:pPr>
    <w:r w:rsidRPr="00DF4098">
      <w:rPr>
        <w:rFonts w:ascii="Times New Roman" w:hAnsi="Times New Roman"/>
        <w:b/>
        <w:bCs/>
        <w:sz w:val="24"/>
        <w:szCs w:val="24"/>
        <w:u w:val="single"/>
      </w:rPr>
      <w:t>SMT</w:t>
    </w:r>
    <w:r w:rsidR="00DF4098" w:rsidRPr="00DF4098">
      <w:rPr>
        <w:rFonts w:ascii="Times New Roman" w:hAnsi="Times New Roman"/>
        <w:b/>
        <w:bCs/>
        <w:sz w:val="24"/>
        <w:szCs w:val="24"/>
        <w:u w:val="single"/>
      </w:rPr>
      <w:t>3891</w:t>
    </w:r>
    <w:r w:rsidR="00524093" w:rsidRPr="00DF4098">
      <w:rPr>
        <w:rFonts w:ascii="Times New Roman" w:hAnsi="Times New Roman"/>
        <w:b/>
        <w:bCs/>
        <w:sz w:val="24"/>
        <w:szCs w:val="24"/>
        <w:u w:val="single"/>
      </w:rPr>
      <w:t xml:space="preserve"> DERİN YARA</w:t>
    </w:r>
    <w:r w:rsidR="00B43970" w:rsidRPr="00DF4098">
      <w:rPr>
        <w:rFonts w:ascii="Times New Roman" w:hAnsi="Times New Roman"/>
        <w:b/>
        <w:bCs/>
        <w:sz w:val="24"/>
        <w:szCs w:val="24"/>
        <w:u w:val="single"/>
      </w:rPr>
      <w:t xml:space="preserve"> </w:t>
    </w:r>
    <w:r w:rsidR="00524093" w:rsidRPr="00DF4098">
      <w:rPr>
        <w:rFonts w:ascii="Times New Roman" w:hAnsi="Times New Roman"/>
        <w:b/>
        <w:bCs/>
        <w:sz w:val="24"/>
        <w:szCs w:val="24"/>
        <w:u w:val="single"/>
      </w:rPr>
      <w:t>TAMPON</w:t>
    </w:r>
    <w:r w:rsidR="00B43970" w:rsidRPr="00DF4098">
      <w:rPr>
        <w:rFonts w:ascii="Times New Roman" w:hAnsi="Times New Roman"/>
        <w:b/>
        <w:bCs/>
        <w:sz w:val="24"/>
        <w:szCs w:val="24"/>
        <w:u w:val="single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7A5CEF"/>
    <w:multiLevelType w:val="singleLevel"/>
    <w:tmpl w:val="D17A5CE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B5A"/>
    <w:multiLevelType w:val="hybridMultilevel"/>
    <w:tmpl w:val="CF50C9C8"/>
    <w:lvl w:ilvl="0" w:tplc="C2B066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5002D97"/>
    <w:multiLevelType w:val="hybridMultilevel"/>
    <w:tmpl w:val="87123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60FBE"/>
    <w:multiLevelType w:val="hybridMultilevel"/>
    <w:tmpl w:val="73807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119D"/>
    <w:multiLevelType w:val="hybridMultilevel"/>
    <w:tmpl w:val="D3DAF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343C"/>
    <w:multiLevelType w:val="hybridMultilevel"/>
    <w:tmpl w:val="3462FD24"/>
    <w:lvl w:ilvl="0" w:tplc="041F000F">
      <w:start w:val="1"/>
      <w:numFmt w:val="decimal"/>
      <w:lvlText w:val="%1."/>
      <w:lvlJc w:val="left"/>
      <w:pPr>
        <w:ind w:left="955" w:hanging="360"/>
      </w:pPr>
    </w:lvl>
    <w:lvl w:ilvl="1" w:tplc="041F0019" w:tentative="1">
      <w:start w:val="1"/>
      <w:numFmt w:val="lowerLetter"/>
      <w:lvlText w:val="%2."/>
      <w:lvlJc w:val="left"/>
      <w:pPr>
        <w:ind w:left="1675" w:hanging="360"/>
      </w:pPr>
    </w:lvl>
    <w:lvl w:ilvl="2" w:tplc="041F001B" w:tentative="1">
      <w:start w:val="1"/>
      <w:numFmt w:val="lowerRoman"/>
      <w:lvlText w:val="%3."/>
      <w:lvlJc w:val="right"/>
      <w:pPr>
        <w:ind w:left="2395" w:hanging="180"/>
      </w:pPr>
    </w:lvl>
    <w:lvl w:ilvl="3" w:tplc="041F000F" w:tentative="1">
      <w:start w:val="1"/>
      <w:numFmt w:val="decimal"/>
      <w:lvlText w:val="%4."/>
      <w:lvlJc w:val="left"/>
      <w:pPr>
        <w:ind w:left="3115" w:hanging="360"/>
      </w:pPr>
    </w:lvl>
    <w:lvl w:ilvl="4" w:tplc="041F0019" w:tentative="1">
      <w:start w:val="1"/>
      <w:numFmt w:val="lowerLetter"/>
      <w:lvlText w:val="%5."/>
      <w:lvlJc w:val="left"/>
      <w:pPr>
        <w:ind w:left="3835" w:hanging="360"/>
      </w:pPr>
    </w:lvl>
    <w:lvl w:ilvl="5" w:tplc="041F001B" w:tentative="1">
      <w:start w:val="1"/>
      <w:numFmt w:val="lowerRoman"/>
      <w:lvlText w:val="%6."/>
      <w:lvlJc w:val="right"/>
      <w:pPr>
        <w:ind w:left="4555" w:hanging="180"/>
      </w:pPr>
    </w:lvl>
    <w:lvl w:ilvl="6" w:tplc="041F000F" w:tentative="1">
      <w:start w:val="1"/>
      <w:numFmt w:val="decimal"/>
      <w:lvlText w:val="%7."/>
      <w:lvlJc w:val="left"/>
      <w:pPr>
        <w:ind w:left="5275" w:hanging="360"/>
      </w:pPr>
    </w:lvl>
    <w:lvl w:ilvl="7" w:tplc="041F0019" w:tentative="1">
      <w:start w:val="1"/>
      <w:numFmt w:val="lowerLetter"/>
      <w:lvlText w:val="%8."/>
      <w:lvlJc w:val="left"/>
      <w:pPr>
        <w:ind w:left="5995" w:hanging="360"/>
      </w:pPr>
    </w:lvl>
    <w:lvl w:ilvl="8" w:tplc="041F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40B63AF1"/>
    <w:multiLevelType w:val="hybridMultilevel"/>
    <w:tmpl w:val="944A555C"/>
    <w:lvl w:ilvl="0" w:tplc="2146CCEE">
      <w:start w:val="1"/>
      <w:numFmt w:val="decimal"/>
      <w:lvlText w:val="%1."/>
      <w:lvlJc w:val="left"/>
      <w:pPr>
        <w:ind w:left="95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75" w:hanging="360"/>
      </w:pPr>
    </w:lvl>
    <w:lvl w:ilvl="2" w:tplc="041F001B" w:tentative="1">
      <w:start w:val="1"/>
      <w:numFmt w:val="lowerRoman"/>
      <w:lvlText w:val="%3."/>
      <w:lvlJc w:val="right"/>
      <w:pPr>
        <w:ind w:left="2395" w:hanging="180"/>
      </w:pPr>
    </w:lvl>
    <w:lvl w:ilvl="3" w:tplc="041F000F" w:tentative="1">
      <w:start w:val="1"/>
      <w:numFmt w:val="decimal"/>
      <w:lvlText w:val="%4."/>
      <w:lvlJc w:val="left"/>
      <w:pPr>
        <w:ind w:left="3115" w:hanging="360"/>
      </w:pPr>
    </w:lvl>
    <w:lvl w:ilvl="4" w:tplc="041F0019" w:tentative="1">
      <w:start w:val="1"/>
      <w:numFmt w:val="lowerLetter"/>
      <w:lvlText w:val="%5."/>
      <w:lvlJc w:val="left"/>
      <w:pPr>
        <w:ind w:left="3835" w:hanging="360"/>
      </w:pPr>
    </w:lvl>
    <w:lvl w:ilvl="5" w:tplc="041F001B" w:tentative="1">
      <w:start w:val="1"/>
      <w:numFmt w:val="lowerRoman"/>
      <w:lvlText w:val="%6."/>
      <w:lvlJc w:val="right"/>
      <w:pPr>
        <w:ind w:left="4555" w:hanging="180"/>
      </w:pPr>
    </w:lvl>
    <w:lvl w:ilvl="6" w:tplc="041F000F" w:tentative="1">
      <w:start w:val="1"/>
      <w:numFmt w:val="decimal"/>
      <w:lvlText w:val="%7."/>
      <w:lvlJc w:val="left"/>
      <w:pPr>
        <w:ind w:left="5275" w:hanging="360"/>
      </w:pPr>
    </w:lvl>
    <w:lvl w:ilvl="7" w:tplc="041F0019" w:tentative="1">
      <w:start w:val="1"/>
      <w:numFmt w:val="lowerLetter"/>
      <w:lvlText w:val="%8."/>
      <w:lvlJc w:val="left"/>
      <w:pPr>
        <w:ind w:left="5995" w:hanging="360"/>
      </w:pPr>
    </w:lvl>
    <w:lvl w:ilvl="8" w:tplc="041F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0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42FE"/>
    <w:multiLevelType w:val="hybridMultilevel"/>
    <w:tmpl w:val="B40A7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C3714"/>
    <w:multiLevelType w:val="hybridMultilevel"/>
    <w:tmpl w:val="93BAE4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608E9"/>
    <w:multiLevelType w:val="hybridMultilevel"/>
    <w:tmpl w:val="CF50C9C8"/>
    <w:lvl w:ilvl="0" w:tplc="C2B066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5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33B6A"/>
    <w:multiLevelType w:val="hybridMultilevel"/>
    <w:tmpl w:val="1828F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41A41"/>
    <w:multiLevelType w:val="hybridMultilevel"/>
    <w:tmpl w:val="048E08C0"/>
    <w:lvl w:ilvl="0" w:tplc="8C6A6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C43FE"/>
    <w:multiLevelType w:val="hybridMultilevel"/>
    <w:tmpl w:val="3C20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561A6"/>
    <w:multiLevelType w:val="hybridMultilevel"/>
    <w:tmpl w:val="C654110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14"/>
  </w:num>
  <w:num w:numId="6">
    <w:abstractNumId w:val="2"/>
  </w:num>
  <w:num w:numId="7">
    <w:abstractNumId w:val="0"/>
  </w:num>
  <w:num w:numId="8">
    <w:abstractNumId w:val="19"/>
  </w:num>
  <w:num w:numId="9">
    <w:abstractNumId w:val="18"/>
  </w:num>
  <w:num w:numId="10">
    <w:abstractNumId w:val="5"/>
  </w:num>
  <w:num w:numId="11">
    <w:abstractNumId w:val="3"/>
  </w:num>
  <w:num w:numId="12">
    <w:abstractNumId w:val="13"/>
  </w:num>
  <w:num w:numId="13">
    <w:abstractNumId w:val="17"/>
  </w:num>
  <w:num w:numId="14">
    <w:abstractNumId w:val="16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04C8C"/>
    <w:rsid w:val="00012BCF"/>
    <w:rsid w:val="00013808"/>
    <w:rsid w:val="00026012"/>
    <w:rsid w:val="00031773"/>
    <w:rsid w:val="00034302"/>
    <w:rsid w:val="0005070D"/>
    <w:rsid w:val="000633B5"/>
    <w:rsid w:val="00076076"/>
    <w:rsid w:val="000D3711"/>
    <w:rsid w:val="001007DC"/>
    <w:rsid w:val="0017618D"/>
    <w:rsid w:val="00190DB8"/>
    <w:rsid w:val="001B34EE"/>
    <w:rsid w:val="001C29B8"/>
    <w:rsid w:val="001D223C"/>
    <w:rsid w:val="001E275D"/>
    <w:rsid w:val="001E5751"/>
    <w:rsid w:val="00222C67"/>
    <w:rsid w:val="00230538"/>
    <w:rsid w:val="0027026D"/>
    <w:rsid w:val="002919EB"/>
    <w:rsid w:val="002B2F93"/>
    <w:rsid w:val="002B7C39"/>
    <w:rsid w:val="002C4646"/>
    <w:rsid w:val="002F51A4"/>
    <w:rsid w:val="00307AC2"/>
    <w:rsid w:val="003136C5"/>
    <w:rsid w:val="00313EF0"/>
    <w:rsid w:val="00323ECB"/>
    <w:rsid w:val="0033483D"/>
    <w:rsid w:val="00343BEE"/>
    <w:rsid w:val="0038792A"/>
    <w:rsid w:val="0039014D"/>
    <w:rsid w:val="00393041"/>
    <w:rsid w:val="003A25E2"/>
    <w:rsid w:val="003C7095"/>
    <w:rsid w:val="004039F6"/>
    <w:rsid w:val="00403BF8"/>
    <w:rsid w:val="0041334D"/>
    <w:rsid w:val="00434238"/>
    <w:rsid w:val="00451475"/>
    <w:rsid w:val="00457F0F"/>
    <w:rsid w:val="004A014E"/>
    <w:rsid w:val="004A4515"/>
    <w:rsid w:val="004D5F83"/>
    <w:rsid w:val="004F6EBE"/>
    <w:rsid w:val="00524093"/>
    <w:rsid w:val="00525A66"/>
    <w:rsid w:val="00536936"/>
    <w:rsid w:val="0053713C"/>
    <w:rsid w:val="00587A7E"/>
    <w:rsid w:val="00597FE1"/>
    <w:rsid w:val="005A0A96"/>
    <w:rsid w:val="005C476F"/>
    <w:rsid w:val="005E7001"/>
    <w:rsid w:val="005F0E51"/>
    <w:rsid w:val="006017F4"/>
    <w:rsid w:val="006121D7"/>
    <w:rsid w:val="006177AF"/>
    <w:rsid w:val="0066724B"/>
    <w:rsid w:val="006728F9"/>
    <w:rsid w:val="006743E3"/>
    <w:rsid w:val="00683904"/>
    <w:rsid w:val="00690B22"/>
    <w:rsid w:val="00691C65"/>
    <w:rsid w:val="006B271B"/>
    <w:rsid w:val="006D617A"/>
    <w:rsid w:val="006E2751"/>
    <w:rsid w:val="006F1EA7"/>
    <w:rsid w:val="007114FE"/>
    <w:rsid w:val="00711DCC"/>
    <w:rsid w:val="00730746"/>
    <w:rsid w:val="00784278"/>
    <w:rsid w:val="007A32D6"/>
    <w:rsid w:val="007A6C4E"/>
    <w:rsid w:val="007B3345"/>
    <w:rsid w:val="007B49D9"/>
    <w:rsid w:val="007D14FA"/>
    <w:rsid w:val="007F6239"/>
    <w:rsid w:val="008031D7"/>
    <w:rsid w:val="0081555D"/>
    <w:rsid w:val="0084327A"/>
    <w:rsid w:val="00852AB6"/>
    <w:rsid w:val="00862BE7"/>
    <w:rsid w:val="008641AB"/>
    <w:rsid w:val="00882EBE"/>
    <w:rsid w:val="0089505B"/>
    <w:rsid w:val="008D2325"/>
    <w:rsid w:val="008D6EE0"/>
    <w:rsid w:val="0090716D"/>
    <w:rsid w:val="00916324"/>
    <w:rsid w:val="009368A4"/>
    <w:rsid w:val="00936B0A"/>
    <w:rsid w:val="009516C0"/>
    <w:rsid w:val="0096546C"/>
    <w:rsid w:val="00973316"/>
    <w:rsid w:val="009C1496"/>
    <w:rsid w:val="009C64B5"/>
    <w:rsid w:val="00A36D1E"/>
    <w:rsid w:val="00A52F76"/>
    <w:rsid w:val="00A72211"/>
    <w:rsid w:val="00A742E0"/>
    <w:rsid w:val="00A75089"/>
    <w:rsid w:val="00A82FF8"/>
    <w:rsid w:val="00AA0FC9"/>
    <w:rsid w:val="00AD24F9"/>
    <w:rsid w:val="00AE265D"/>
    <w:rsid w:val="00AE4218"/>
    <w:rsid w:val="00AF72E7"/>
    <w:rsid w:val="00B170FE"/>
    <w:rsid w:val="00B35146"/>
    <w:rsid w:val="00B355A1"/>
    <w:rsid w:val="00B4166E"/>
    <w:rsid w:val="00B43970"/>
    <w:rsid w:val="00B63DD0"/>
    <w:rsid w:val="00B76A96"/>
    <w:rsid w:val="00BA22B4"/>
    <w:rsid w:val="00BC0939"/>
    <w:rsid w:val="00BD52A3"/>
    <w:rsid w:val="00C00704"/>
    <w:rsid w:val="00C2770D"/>
    <w:rsid w:val="00C27A61"/>
    <w:rsid w:val="00C40BA5"/>
    <w:rsid w:val="00C41654"/>
    <w:rsid w:val="00C41A38"/>
    <w:rsid w:val="00C4304B"/>
    <w:rsid w:val="00C76B30"/>
    <w:rsid w:val="00C937C0"/>
    <w:rsid w:val="00CA53E5"/>
    <w:rsid w:val="00CC3E30"/>
    <w:rsid w:val="00CD6693"/>
    <w:rsid w:val="00CE4F05"/>
    <w:rsid w:val="00D10434"/>
    <w:rsid w:val="00D16BF6"/>
    <w:rsid w:val="00D21109"/>
    <w:rsid w:val="00D43B87"/>
    <w:rsid w:val="00DA048D"/>
    <w:rsid w:val="00DB3562"/>
    <w:rsid w:val="00DB5BED"/>
    <w:rsid w:val="00DC33E1"/>
    <w:rsid w:val="00DD15B6"/>
    <w:rsid w:val="00DF4098"/>
    <w:rsid w:val="00DF7E83"/>
    <w:rsid w:val="00E308DE"/>
    <w:rsid w:val="00E3230A"/>
    <w:rsid w:val="00E46A47"/>
    <w:rsid w:val="00E90965"/>
    <w:rsid w:val="00E90E84"/>
    <w:rsid w:val="00ED33DD"/>
    <w:rsid w:val="00EE7527"/>
    <w:rsid w:val="00EF0090"/>
    <w:rsid w:val="00EF6759"/>
    <w:rsid w:val="00F13B02"/>
    <w:rsid w:val="00F4755E"/>
    <w:rsid w:val="00F50D6E"/>
    <w:rsid w:val="00F822B0"/>
    <w:rsid w:val="00FB068B"/>
    <w:rsid w:val="00FC2D10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FD259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ADMİNASTOR</cp:lastModifiedBy>
  <cp:revision>36</cp:revision>
  <dcterms:created xsi:type="dcterms:W3CDTF">2023-05-23T10:15:00Z</dcterms:created>
  <dcterms:modified xsi:type="dcterms:W3CDTF">2023-06-13T07:35:00Z</dcterms:modified>
</cp:coreProperties>
</file>