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512"/>
      </w:tblGrid>
      <w:tr w:rsidR="00D52591" w:rsidRPr="00152486" w14:paraId="0324EBA2" w14:textId="77777777" w:rsidTr="00025195">
        <w:trPr>
          <w:trHeight w:val="850"/>
        </w:trPr>
        <w:tc>
          <w:tcPr>
            <w:tcW w:w="1537" w:type="dxa"/>
          </w:tcPr>
          <w:p w14:paraId="23B77E07" w14:textId="77777777"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7512" w:type="dxa"/>
            <w:shd w:val="clear" w:color="auto" w:fill="auto"/>
          </w:tcPr>
          <w:p w14:paraId="516AA410" w14:textId="77777777" w:rsidR="00D52591" w:rsidRPr="00152486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>
              <w:t>Enjeksiyon yapmak için tasarlanmış olmalıdır.</w:t>
            </w:r>
          </w:p>
        </w:tc>
      </w:tr>
      <w:tr w:rsidR="00D52591" w:rsidRPr="00152486" w14:paraId="10B17D37" w14:textId="77777777" w:rsidTr="00025195">
        <w:trPr>
          <w:trHeight w:val="1640"/>
        </w:trPr>
        <w:tc>
          <w:tcPr>
            <w:tcW w:w="1537" w:type="dxa"/>
          </w:tcPr>
          <w:p w14:paraId="3A7055F5" w14:textId="77777777"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14:paraId="029E6303" w14:textId="77777777"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11492DC1" w14:textId="77777777" w:rsidR="002A14A8" w:rsidRDefault="009662D1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>
              <w:t>Kullanıcının talebine göre malzeme tanımında belirtilen boyda olmalıdır.</w:t>
            </w:r>
          </w:p>
          <w:p w14:paraId="3F6CF96A" w14:textId="23DBB3B6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Enjektör gövde, piston ve piston lastiği olarak</w:t>
            </w:r>
            <w:r w:rsidR="00C61551">
              <w:t xml:space="preserve"> en az</w:t>
            </w:r>
            <w:r w:rsidR="00905B9B">
              <w:t xml:space="preserve"> </w:t>
            </w:r>
            <w:r w:rsidRPr="0031325E">
              <w:t>3 parçadan oluşmalı aynı zamanda steril ambalajının içinde iğne ucu bulunmalıdır.</w:t>
            </w:r>
          </w:p>
          <w:p w14:paraId="52A9401B" w14:textId="738E0A95" w:rsidR="0063440A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2ml, 5ml, 10 ml, enjektör üzerinde cc veya dizyem çizgileri olmalı, cc veya dizyem çizgisi “0</w:t>
            </w:r>
            <w:r w:rsidR="00DB2BA9">
              <w:t xml:space="preserve"> </w:t>
            </w:r>
            <w:r w:rsidRPr="0031325E">
              <w:t>(sıfır)’dan” başlamalıdır.</w:t>
            </w:r>
          </w:p>
          <w:p w14:paraId="0FDABE3E" w14:textId="46CE09A7" w:rsidR="003C02D5" w:rsidRPr="0031325E" w:rsidRDefault="003C02D5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>
              <w:t>Ürünün iğne batm</w:t>
            </w:r>
            <w:r w:rsidR="00905B9B">
              <w:t>a</w:t>
            </w:r>
            <w:r>
              <w:t>larına karşı koruyucu özeliği olan korumalı veya koruması tiplerinden herhangi biri olmalıdır.</w:t>
            </w:r>
          </w:p>
          <w:p w14:paraId="420D3B87" w14:textId="1AAF608A" w:rsidR="0063440A" w:rsidRPr="00152486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20 ml, 50 ml, enjektör üzerinde cc çizgileri olmalı, cc çizgisi “0</w:t>
            </w:r>
            <w:r w:rsidR="00025195">
              <w:t xml:space="preserve"> </w:t>
            </w:r>
            <w:r w:rsidRPr="0031325E">
              <w:t>(sıfır)dan” başlamalıdır.</w:t>
            </w:r>
          </w:p>
        </w:tc>
      </w:tr>
      <w:tr w:rsidR="002E7804" w:rsidRPr="00152486" w14:paraId="1E73B4FE" w14:textId="77777777" w:rsidTr="00025195">
        <w:trPr>
          <w:trHeight w:val="8205"/>
        </w:trPr>
        <w:tc>
          <w:tcPr>
            <w:tcW w:w="1537" w:type="dxa"/>
          </w:tcPr>
          <w:p w14:paraId="041D724A" w14:textId="77777777"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7512" w:type="dxa"/>
            <w:shd w:val="clear" w:color="auto" w:fill="auto"/>
          </w:tcPr>
          <w:p w14:paraId="3020605A" w14:textId="6A7D483C" w:rsidR="003C02D5" w:rsidRPr="003C02D5" w:rsidRDefault="003C02D5" w:rsidP="003C02D5">
            <w:pPr>
              <w:spacing w:before="120" w:after="120" w:line="360" w:lineRule="auto"/>
              <w:jc w:val="both"/>
              <w:rPr>
                <w:b/>
                <w:bCs/>
                <w:u w:val="single"/>
              </w:rPr>
            </w:pPr>
            <w:r w:rsidRPr="003C02D5">
              <w:rPr>
                <w:b/>
                <w:bCs/>
                <w:u w:val="single"/>
              </w:rPr>
              <w:t xml:space="preserve">Enjektör </w:t>
            </w:r>
            <w:r w:rsidR="00971B08" w:rsidRPr="003C02D5">
              <w:rPr>
                <w:b/>
                <w:bCs/>
                <w:u w:val="single"/>
              </w:rPr>
              <w:t>standart:</w:t>
            </w:r>
          </w:p>
          <w:p w14:paraId="78B6230C" w14:textId="146CE1D5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Gövde kısmı şeffaf, tek kullanımlık, steril, tıbbi kullanıma uygun ve non-toksik olan plastik hammaddeden yapılmış olmalıdır.</w:t>
            </w:r>
          </w:p>
          <w:p w14:paraId="7E6B7CF7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Çizgi ve rakamlar belirgin olmalı, rakamlar gövdenin sağ tarafında düzgün olarak okunabilmeli, rakamlar ters basılmamalı ve ıslandığında silinmemelidir.</w:t>
            </w:r>
          </w:p>
          <w:p w14:paraId="7CA60870" w14:textId="77777777" w:rsidR="000B3BF1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Enjektör ve piston pürüzsüz olmalı, kullanım sırasında tahrişe neden olmamalıdır.</w:t>
            </w:r>
          </w:p>
          <w:p w14:paraId="089EA282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Negatif basınç uygulandığında hava kaçağı yapmamalı, piston kısmı hava ve sıvı kaçırmamalıdır.</w:t>
            </w:r>
          </w:p>
          <w:p w14:paraId="48CD0568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Enjektör haznesi basınçla çatlamamalı, haznesinde mayi bırakmamalıdır.</w:t>
            </w:r>
          </w:p>
          <w:p w14:paraId="7C5538C0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Pistonu kolay hareket edebilmelidir, sıvıyı pistonun arka tarafına kaçırmamalıdır, enjektör ile piston ucu arasında boşluk kalmamalıdır.</w:t>
            </w:r>
          </w:p>
          <w:p w14:paraId="6C6F1303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Piston geriye çekildiğinde enjektörün içinden kolayca çıkmasını önleyecek düzeneği bulunmalıdır.</w:t>
            </w:r>
          </w:p>
          <w:p w14:paraId="7C393E44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İğne ucu %6 eğimli luer olmalı ve enjektöre iyi adapte olmalı, adaptörden sıvı kaçırmamalıdır.</w:t>
            </w:r>
          </w:p>
          <w:p w14:paraId="3B16B15D" w14:textId="77777777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İğne metali dokuda kolay ilerlemeli, dönmemeli, dokuyu tahrip etmeyecek şekilde ve özellikte olmalıdır.</w:t>
            </w:r>
          </w:p>
          <w:p w14:paraId="709EFD98" w14:textId="77777777" w:rsidR="0063440A" w:rsidRPr="002A14A8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Branül ve damla ayar setleri ile kullanıma uyumlu olmalıdır.</w:t>
            </w:r>
          </w:p>
        </w:tc>
      </w:tr>
      <w:tr w:rsidR="003C02D5" w:rsidRPr="00152486" w14:paraId="38B623E6" w14:textId="77777777" w:rsidTr="00025195">
        <w:trPr>
          <w:trHeight w:val="420"/>
        </w:trPr>
        <w:tc>
          <w:tcPr>
            <w:tcW w:w="1537" w:type="dxa"/>
          </w:tcPr>
          <w:p w14:paraId="7D75F785" w14:textId="1B3992BD" w:rsidR="003C02D5" w:rsidRPr="002E7804" w:rsidRDefault="003C02D5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7512" w:type="dxa"/>
            <w:shd w:val="clear" w:color="auto" w:fill="auto"/>
          </w:tcPr>
          <w:p w14:paraId="34021589" w14:textId="52F87E18" w:rsidR="003C02D5" w:rsidRPr="00905B9B" w:rsidRDefault="003C02D5" w:rsidP="00905B9B">
            <w:pPr>
              <w:spacing w:before="120" w:after="120" w:line="360" w:lineRule="auto"/>
              <w:jc w:val="both"/>
              <w:rPr>
                <w:b/>
                <w:bCs/>
                <w:u w:val="single"/>
              </w:rPr>
            </w:pPr>
            <w:r w:rsidRPr="00905B9B">
              <w:rPr>
                <w:b/>
                <w:bCs/>
                <w:u w:val="single"/>
              </w:rPr>
              <w:t xml:space="preserve">Güvenlikli </w:t>
            </w:r>
            <w:r w:rsidR="00905B9B" w:rsidRPr="00905B9B">
              <w:rPr>
                <w:b/>
                <w:bCs/>
                <w:u w:val="single"/>
              </w:rPr>
              <w:t>enjektör:</w:t>
            </w:r>
          </w:p>
          <w:p w14:paraId="6E6CFE68" w14:textId="24EB4B22" w:rsidR="005102D9" w:rsidRPr="00905B9B" w:rsidRDefault="003C02D5" w:rsidP="005102D9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05B9B">
              <w:t>Enjeksiyon işlemi sonunda iğne kas içinde iken piston sonuna kadar bastırılarak yaylı mekanizma sayesinde enjektör i</w:t>
            </w:r>
            <w:r w:rsidR="005102D9">
              <w:t>çine otomatik olarak çekmeli veya iğne ucu piston içinde kalabilecek farklı bir mekanizma ile bu korumayı sağlamalıdır.(enjektör iğne batmalarını engelleyecek herhangi bir mekanizmaya sahip olması yeterlidir.)</w:t>
            </w:r>
          </w:p>
          <w:p w14:paraId="267C4C48" w14:textId="3585617C" w:rsidR="003C02D5" w:rsidRPr="00905B9B" w:rsidRDefault="003C02D5" w:rsidP="00905B9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05B9B">
              <w:t>Ürün sistemi sayesinde iğne batmalarını ve yaralanmalarını engellemelidir.</w:t>
            </w:r>
          </w:p>
          <w:p w14:paraId="73892D9D" w14:textId="77777777" w:rsidR="003C02D5" w:rsidRPr="00905B9B" w:rsidRDefault="003C02D5" w:rsidP="00905B9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05B9B">
              <w:t>Ürün üzerinde doz ayarlama skalası olmalıdır.</w:t>
            </w:r>
          </w:p>
          <w:p w14:paraId="5C21F1F5" w14:textId="58863103" w:rsidR="003C02D5" w:rsidRPr="00905B9B" w:rsidRDefault="003C02D5" w:rsidP="00905B9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05B9B">
              <w:t xml:space="preserve">Ürün lateks, </w:t>
            </w:r>
            <w:r w:rsidR="00971B08" w:rsidRPr="00905B9B">
              <w:t>pirojenik</w:t>
            </w:r>
            <w:r w:rsidRPr="00905B9B">
              <w:t xml:space="preserve"> ve toksik madde içermemelidir.</w:t>
            </w:r>
          </w:p>
          <w:p w14:paraId="035265DC" w14:textId="0C123FAE" w:rsidR="003C02D5" w:rsidRPr="00905B9B" w:rsidRDefault="005102D9" w:rsidP="00905B9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>
              <w:t xml:space="preserve">Ürün </w:t>
            </w:r>
            <w:r w:rsidRPr="00905B9B">
              <w:t>kendi</w:t>
            </w:r>
            <w:r w:rsidR="003C02D5" w:rsidRPr="00905B9B">
              <w:t xml:space="preserve"> iğnesi ile</w:t>
            </w:r>
            <w:r>
              <w:t xml:space="preserve"> ve/veya ulusal renk kodu olan diğer iğne uçları ile </w:t>
            </w:r>
            <w:r w:rsidRPr="00905B9B">
              <w:t>kullanılabilmelidir</w:t>
            </w:r>
            <w:r w:rsidR="003C02D5" w:rsidRPr="00905B9B">
              <w:t>.</w:t>
            </w:r>
          </w:p>
          <w:p w14:paraId="31A5979D" w14:textId="1D510D2C" w:rsidR="003C02D5" w:rsidRDefault="003C02D5" w:rsidP="00905B9B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05B9B">
              <w:t>Ürünün güvenlik mekanizması enjektörün içinde olmalıdır.</w:t>
            </w:r>
          </w:p>
        </w:tc>
      </w:tr>
      <w:tr w:rsidR="002D2412" w:rsidRPr="00152486" w14:paraId="19CB8A49" w14:textId="77777777" w:rsidTr="00025195">
        <w:trPr>
          <w:trHeight w:val="1640"/>
        </w:trPr>
        <w:tc>
          <w:tcPr>
            <w:tcW w:w="1537" w:type="dxa"/>
          </w:tcPr>
          <w:p w14:paraId="57F34904" w14:textId="77777777" w:rsidR="002D2412" w:rsidRPr="00152486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7512" w:type="dxa"/>
            <w:shd w:val="clear" w:color="auto" w:fill="auto"/>
          </w:tcPr>
          <w:p w14:paraId="2B450901" w14:textId="627F4F9B" w:rsidR="0063440A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 xml:space="preserve">Ambalajı bir yüzü şeffaf film, diğer yüzü gaz geçirgenliği olan medikal </w:t>
            </w:r>
            <w:r w:rsidR="00971B08" w:rsidRPr="0031325E">
              <w:t>kâğıt</w:t>
            </w:r>
            <w:r w:rsidRPr="0031325E">
              <w:t xml:space="preserve"> şeklinde tekli ambalajlanmış, ambalaj kenarları iyi preslenmiş, steril ve steriliteyi bozmayacak şekilde kolay açılabilir olmalıdır.</w:t>
            </w:r>
          </w:p>
          <w:p w14:paraId="491DE2B9" w14:textId="45FBCE10" w:rsidR="00AC4D42" w:rsidRPr="0031325E" w:rsidRDefault="00AC4D42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>
              <w:t xml:space="preserve">Ambalaj </w:t>
            </w:r>
            <w:r>
              <w:t>etiket</w:t>
            </w:r>
            <w:r>
              <w:t xml:space="preserve"> bilgileri şeffaf olmayan yüzeyde olmalı sonradan yapıştırma olmamalıdır.</w:t>
            </w:r>
            <w:bookmarkStart w:id="0" w:name="_GoBack"/>
            <w:bookmarkEnd w:id="0"/>
          </w:p>
          <w:p w14:paraId="12772A15" w14:textId="72232DF3" w:rsidR="0063440A" w:rsidRPr="0031325E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>En az 25, en fazla 3</w:t>
            </w:r>
            <w:r w:rsidR="005E395D">
              <w:t>5</w:t>
            </w:r>
            <w:r w:rsidRPr="0031325E">
              <w:t>0 adetlik üzerinde ürün bilgilerinin yer aldığı kutular içinde olmalıdır.</w:t>
            </w:r>
          </w:p>
          <w:p w14:paraId="00961C62" w14:textId="4E0FFE79" w:rsidR="002E7804" w:rsidRPr="002D2412" w:rsidRDefault="0063440A" w:rsidP="0063440A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31325E">
              <w:t xml:space="preserve">İlgili ürünler TS EN ISO 7886-1 </w:t>
            </w:r>
            <w:r w:rsidR="00971B08" w:rsidRPr="0031325E">
              <w:t>standar</w:t>
            </w:r>
            <w:r w:rsidR="00971B08">
              <w:t>tlarına uygun</w:t>
            </w:r>
            <w:r w:rsidR="00C61551">
              <w:t xml:space="preserve"> olmalı veya CE belgesine sahip olmalıdır.</w:t>
            </w:r>
          </w:p>
        </w:tc>
      </w:tr>
    </w:tbl>
    <w:p w14:paraId="3084CC37" w14:textId="77777777" w:rsidR="00D52591" w:rsidRPr="00152486" w:rsidRDefault="00D52591" w:rsidP="008349EB">
      <w:pPr>
        <w:jc w:val="center"/>
        <w:rPr>
          <w:b/>
        </w:rPr>
      </w:pPr>
    </w:p>
    <w:p w14:paraId="719B3A13" w14:textId="6226BFEC" w:rsidR="006F54DD" w:rsidRPr="00342CF9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  <w:color w:val="FFFF00"/>
        </w:rPr>
      </w:pPr>
    </w:p>
    <w:sectPr w:rsidR="006F54DD" w:rsidRPr="00342CF9" w:rsidSect="008C51D9">
      <w:headerReference w:type="default" r:id="rId7"/>
      <w:footerReference w:type="default" r:id="rId8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1436" w14:textId="77777777" w:rsidR="00B101B2" w:rsidRDefault="00B101B2">
      <w:pPr>
        <w:spacing w:after="0" w:line="240" w:lineRule="auto"/>
      </w:pPr>
      <w:r>
        <w:separator/>
      </w:r>
    </w:p>
  </w:endnote>
  <w:endnote w:type="continuationSeparator" w:id="0">
    <w:p w14:paraId="38296332" w14:textId="77777777" w:rsidR="00B101B2" w:rsidRDefault="00B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F119" w14:textId="76EE21DA"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4D42">
      <w:rPr>
        <w:noProof/>
        <w:color w:val="000000"/>
      </w:rPr>
      <w:t>2</w:t>
    </w:r>
    <w:r>
      <w:rPr>
        <w:color w:val="000000"/>
      </w:rPr>
      <w:fldChar w:fldCharType="end"/>
    </w:r>
  </w:p>
  <w:p w14:paraId="35504C5C" w14:textId="77777777"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1CD5" w14:textId="77777777" w:rsidR="00B101B2" w:rsidRDefault="00B101B2">
      <w:pPr>
        <w:spacing w:after="0" w:line="240" w:lineRule="auto"/>
      </w:pPr>
      <w:r>
        <w:separator/>
      </w:r>
    </w:p>
  </w:footnote>
  <w:footnote w:type="continuationSeparator" w:id="0">
    <w:p w14:paraId="3DE11624" w14:textId="77777777" w:rsidR="00B101B2" w:rsidRDefault="00B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F1A87" w14:textId="39D06821" w:rsidR="003F4214" w:rsidRPr="00DB2BA9" w:rsidRDefault="00DB2BA9" w:rsidP="00DB2BA9">
    <w:pPr>
      <w:spacing w:before="120" w:after="120" w:line="360" w:lineRule="auto"/>
      <w:jc w:val="both"/>
      <w:rPr>
        <w:b/>
        <w:bCs/>
        <w:u w:val="single"/>
      </w:rPr>
    </w:pPr>
    <w:r>
      <w:rPr>
        <w:b/>
        <w:bCs/>
        <w:color w:val="343434"/>
        <w:u w:val="single"/>
        <w:shd w:val="clear" w:color="auto" w:fill="FFFFFF"/>
      </w:rPr>
      <w:t>SMT</w:t>
    </w:r>
    <w:r w:rsidR="00971B08">
      <w:rPr>
        <w:b/>
        <w:bCs/>
        <w:color w:val="343434"/>
        <w:u w:val="single"/>
        <w:shd w:val="clear" w:color="auto" w:fill="FFFFFF"/>
      </w:rPr>
      <w:t xml:space="preserve">3680 </w:t>
    </w:r>
    <w:r w:rsidR="00971B08" w:rsidRPr="00DB2BA9">
      <w:rPr>
        <w:b/>
        <w:bCs/>
        <w:color w:val="343434"/>
        <w:u w:val="single"/>
        <w:shd w:val="clear" w:color="auto" w:fill="FFFFFF"/>
      </w:rPr>
      <w:t>ENJEKTÖR</w:t>
    </w:r>
    <w:r w:rsidR="0063440A" w:rsidRPr="00DB2BA9">
      <w:rPr>
        <w:b/>
        <w:bCs/>
        <w:color w:val="343434"/>
        <w:u w:val="single"/>
        <w:shd w:val="clear" w:color="auto" w:fill="FFFFFF"/>
      </w:rPr>
      <w:t>, ÜÇ PARÇALI</w:t>
    </w:r>
    <w:r w:rsidR="0063440A" w:rsidRPr="00DB2BA9">
      <w:rPr>
        <w:b/>
        <w:b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274C49"/>
    <w:multiLevelType w:val="hybridMultilevel"/>
    <w:tmpl w:val="5900E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EF73E3A"/>
    <w:multiLevelType w:val="hybridMultilevel"/>
    <w:tmpl w:val="9F60AA80"/>
    <w:lvl w:ilvl="0" w:tplc="C81E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5" w15:restartNumberingAfterBreak="0">
    <w:nsid w:val="58811253"/>
    <w:multiLevelType w:val="hybridMultilevel"/>
    <w:tmpl w:val="86282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9" w15:restartNumberingAfterBreak="0">
    <w:nsid w:val="67D06FB8"/>
    <w:multiLevelType w:val="hybridMultilevel"/>
    <w:tmpl w:val="79229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23E7"/>
    <w:multiLevelType w:val="hybridMultilevel"/>
    <w:tmpl w:val="264ED6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BE53BB"/>
    <w:multiLevelType w:val="hybridMultilevel"/>
    <w:tmpl w:val="EF66A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31"/>
  </w:num>
  <w:num w:numId="14">
    <w:abstractNumId w:val="9"/>
  </w:num>
  <w:num w:numId="15">
    <w:abstractNumId w:val="20"/>
  </w:num>
  <w:num w:numId="16">
    <w:abstractNumId w:val="10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22"/>
  </w:num>
  <w:num w:numId="21">
    <w:abstractNumId w:val="24"/>
  </w:num>
  <w:num w:numId="22">
    <w:abstractNumId w:val="25"/>
  </w:num>
  <w:num w:numId="23">
    <w:abstractNumId w:val="43"/>
  </w:num>
  <w:num w:numId="24">
    <w:abstractNumId w:val="8"/>
  </w:num>
  <w:num w:numId="25">
    <w:abstractNumId w:val="28"/>
  </w:num>
  <w:num w:numId="26">
    <w:abstractNumId w:val="23"/>
  </w:num>
  <w:num w:numId="27">
    <w:abstractNumId w:val="6"/>
  </w:num>
  <w:num w:numId="28">
    <w:abstractNumId w:val="21"/>
  </w:num>
  <w:num w:numId="29">
    <w:abstractNumId w:val="38"/>
  </w:num>
  <w:num w:numId="30">
    <w:abstractNumId w:val="11"/>
  </w:num>
  <w:num w:numId="31">
    <w:abstractNumId w:val="40"/>
  </w:num>
  <w:num w:numId="32">
    <w:abstractNumId w:val="37"/>
  </w:num>
  <w:num w:numId="33">
    <w:abstractNumId w:val="4"/>
  </w:num>
  <w:num w:numId="34">
    <w:abstractNumId w:val="2"/>
  </w:num>
  <w:num w:numId="35">
    <w:abstractNumId w:val="27"/>
  </w:num>
  <w:num w:numId="36">
    <w:abstractNumId w:val="15"/>
  </w:num>
  <w:num w:numId="37">
    <w:abstractNumId w:val="33"/>
  </w:num>
  <w:num w:numId="38">
    <w:abstractNumId w:val="41"/>
  </w:num>
  <w:num w:numId="39">
    <w:abstractNumId w:val="0"/>
  </w:num>
  <w:num w:numId="40">
    <w:abstractNumId w:val="34"/>
  </w:num>
  <w:num w:numId="41">
    <w:abstractNumId w:val="29"/>
  </w:num>
  <w:num w:numId="42">
    <w:abstractNumId w:val="17"/>
  </w:num>
  <w:num w:numId="43">
    <w:abstractNumId w:val="30"/>
  </w:num>
  <w:num w:numId="44">
    <w:abstractNumId w:val="35"/>
  </w:num>
  <w:num w:numId="45">
    <w:abstractNumId w:val="39"/>
  </w:num>
  <w:num w:numId="46">
    <w:abstractNumId w:val="1"/>
  </w:num>
  <w:num w:numId="47">
    <w:abstractNumId w:val="44"/>
  </w:num>
  <w:num w:numId="48">
    <w:abstractNumId w:val="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25195"/>
    <w:rsid w:val="000267CC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86FDA"/>
    <w:rsid w:val="00194CC1"/>
    <w:rsid w:val="001D02AA"/>
    <w:rsid w:val="001D0B21"/>
    <w:rsid w:val="001E3476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42CF9"/>
    <w:rsid w:val="00374768"/>
    <w:rsid w:val="003A42BC"/>
    <w:rsid w:val="003B43C3"/>
    <w:rsid w:val="003B67A2"/>
    <w:rsid w:val="003C02D5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4F6DD1"/>
    <w:rsid w:val="005102D9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5E395D"/>
    <w:rsid w:val="006069FF"/>
    <w:rsid w:val="00616210"/>
    <w:rsid w:val="0061645A"/>
    <w:rsid w:val="0063440A"/>
    <w:rsid w:val="00636EC6"/>
    <w:rsid w:val="00640436"/>
    <w:rsid w:val="00686332"/>
    <w:rsid w:val="00691E9E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2406F"/>
    <w:rsid w:val="00740EBD"/>
    <w:rsid w:val="007671BD"/>
    <w:rsid w:val="0077618C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05B9B"/>
    <w:rsid w:val="00921841"/>
    <w:rsid w:val="00934264"/>
    <w:rsid w:val="009533B0"/>
    <w:rsid w:val="00955C11"/>
    <w:rsid w:val="009662D1"/>
    <w:rsid w:val="00971B08"/>
    <w:rsid w:val="0098253B"/>
    <w:rsid w:val="009F2A2C"/>
    <w:rsid w:val="009F62D2"/>
    <w:rsid w:val="00A031C6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C4D42"/>
    <w:rsid w:val="00AE3AA9"/>
    <w:rsid w:val="00AE47C7"/>
    <w:rsid w:val="00AE5B28"/>
    <w:rsid w:val="00B101B2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1551"/>
    <w:rsid w:val="00C6314D"/>
    <w:rsid w:val="00C768C0"/>
    <w:rsid w:val="00C86DEE"/>
    <w:rsid w:val="00C905A8"/>
    <w:rsid w:val="00C94501"/>
    <w:rsid w:val="00C9744D"/>
    <w:rsid w:val="00CA3C69"/>
    <w:rsid w:val="00CB2253"/>
    <w:rsid w:val="00CB5A38"/>
    <w:rsid w:val="00CC4B6E"/>
    <w:rsid w:val="00CE3C0D"/>
    <w:rsid w:val="00CF39D3"/>
    <w:rsid w:val="00D3764F"/>
    <w:rsid w:val="00D52591"/>
    <w:rsid w:val="00D55864"/>
    <w:rsid w:val="00D6138D"/>
    <w:rsid w:val="00D84AFB"/>
    <w:rsid w:val="00DA0328"/>
    <w:rsid w:val="00DB2BA9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4CCAB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Lenovo</cp:lastModifiedBy>
  <cp:revision>2</cp:revision>
  <dcterms:created xsi:type="dcterms:W3CDTF">2023-11-30T12:27:00Z</dcterms:created>
  <dcterms:modified xsi:type="dcterms:W3CDTF">2023-11-30T12:27:00Z</dcterms:modified>
</cp:coreProperties>
</file>