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9163"/>
      </w:tblGrid>
      <w:tr w:rsidR="004B7494" w14:paraId="5791AC46" w14:textId="77777777" w:rsidTr="006C4FBF">
        <w:trPr>
          <w:trHeight w:val="1351"/>
        </w:trPr>
        <w:tc>
          <w:tcPr>
            <w:tcW w:w="132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9163" w:type="dxa"/>
            <w:shd w:val="clear" w:color="auto" w:fill="auto"/>
          </w:tcPr>
          <w:p w14:paraId="0699DBCB" w14:textId="59A0433C" w:rsidR="004B7494" w:rsidRPr="0041387D" w:rsidRDefault="00AA78DF" w:rsidP="0041387D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87D">
              <w:rPr>
                <w:rFonts w:ascii="Times New Roman" w:hAnsi="Times New Roman"/>
                <w:sz w:val="24"/>
                <w:szCs w:val="24"/>
              </w:rPr>
              <w:t xml:space="preserve">Sağlık tesislerinde cerrahi müdahale esnasında kullanılmak amacı ile erimeyen, vücutta reaksiyon göstermeyen materyalden dizayn </w:t>
            </w:r>
            <w:r w:rsidR="000B2333" w:rsidRPr="0041387D">
              <w:rPr>
                <w:rFonts w:ascii="Times New Roman" w:hAnsi="Times New Roman"/>
                <w:sz w:val="24"/>
                <w:szCs w:val="24"/>
              </w:rPr>
              <w:t>edilerek cerrahi</w:t>
            </w:r>
            <w:r w:rsidRPr="0041387D">
              <w:rPr>
                <w:rFonts w:ascii="Times New Roman" w:hAnsi="Times New Roman"/>
                <w:sz w:val="24"/>
                <w:szCs w:val="24"/>
              </w:rPr>
              <w:t xml:space="preserve"> dikiş ipliği olarak imal edilmiş olmalıdır.</w:t>
            </w:r>
          </w:p>
        </w:tc>
      </w:tr>
      <w:tr w:rsidR="004B7494" w14:paraId="48B12155" w14:textId="77777777" w:rsidTr="006C4FBF">
        <w:trPr>
          <w:trHeight w:val="1640"/>
        </w:trPr>
        <w:tc>
          <w:tcPr>
            <w:tcW w:w="1327" w:type="dxa"/>
          </w:tcPr>
          <w:p w14:paraId="0A8AD5BF" w14:textId="05423936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CC15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163" w:type="dxa"/>
            <w:shd w:val="clear" w:color="auto" w:fill="auto"/>
          </w:tcPr>
          <w:p w14:paraId="268D2E51" w14:textId="36597ED5" w:rsidR="004B7494" w:rsidRPr="0041387D" w:rsidRDefault="00AA78DF" w:rsidP="0041387D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7D">
              <w:rPr>
                <w:rFonts w:ascii="Times New Roman" w:hAnsi="Times New Roman"/>
                <w:sz w:val="24"/>
                <w:szCs w:val="24"/>
              </w:rPr>
              <w:t>Ürün</w:t>
            </w:r>
            <w:r w:rsidR="00821484" w:rsidRPr="0041387D">
              <w:rPr>
                <w:rFonts w:ascii="Times New Roman" w:hAnsi="Times New Roman"/>
                <w:sz w:val="24"/>
                <w:szCs w:val="24"/>
              </w:rPr>
              <w:t>ün</w:t>
            </w:r>
            <w:r w:rsidRPr="0041387D">
              <w:rPr>
                <w:rFonts w:ascii="Times New Roman" w:hAnsi="Times New Roman"/>
                <w:sz w:val="24"/>
                <w:szCs w:val="24"/>
              </w:rPr>
              <w:t xml:space="preserve"> kullanım yeri ve amacına göre farklı boy ve ebatlarda seçenekleri olmalıdır.</w:t>
            </w:r>
          </w:p>
          <w:p w14:paraId="11D8E40A" w14:textId="4DFE9176" w:rsidR="00137515" w:rsidRPr="0041387D" w:rsidRDefault="00137515" w:rsidP="0041387D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7D">
              <w:rPr>
                <w:rFonts w:ascii="Times New Roman" w:hAnsi="Times New Roman"/>
                <w:sz w:val="24"/>
                <w:szCs w:val="24"/>
              </w:rPr>
              <w:t>Ondalık kesirleri istenilen basamağa göre yuvarlarken önce yuvarlanacak basamağın sağındaki ilk rakama bakılır. Bu rakam 5’e eşit veya 5’ten büyük ise yuvarlanacak basamaktaki rakam 1 artırılır ve bu basamağın sağındaki diğer basamaklar atılır.5’ten küçük ise yuvarlanacak basamaktaki rakam değişmez ve bu basamağın sağındaki diğer basamaklar atılır.</w:t>
            </w:r>
          </w:p>
        </w:tc>
      </w:tr>
      <w:tr w:rsidR="004B7494" w14:paraId="2F1E0A46" w14:textId="77777777" w:rsidTr="006C4FBF">
        <w:trPr>
          <w:trHeight w:val="7110"/>
        </w:trPr>
        <w:tc>
          <w:tcPr>
            <w:tcW w:w="132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23A8FD02" w14:textId="77777777" w:rsid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63C3905C" w14:textId="77777777" w:rsidR="00F4638E" w:rsidRDefault="00F4638E" w:rsidP="00F4638E"/>
          <w:p w14:paraId="11DA1496" w14:textId="77777777" w:rsidR="00F4638E" w:rsidRDefault="00F4638E" w:rsidP="00F4638E"/>
          <w:p w14:paraId="2314CCB4" w14:textId="77777777" w:rsidR="00F4638E" w:rsidRDefault="00F4638E" w:rsidP="00F4638E"/>
          <w:p w14:paraId="79F81150" w14:textId="77777777" w:rsidR="00F4638E" w:rsidRDefault="00F4638E" w:rsidP="00F4638E"/>
          <w:p w14:paraId="3DCC5E51" w14:textId="77777777" w:rsidR="00F4638E" w:rsidRDefault="00F4638E" w:rsidP="00F4638E"/>
          <w:p w14:paraId="2F97F044" w14:textId="77777777" w:rsidR="00F4638E" w:rsidRDefault="00F4638E" w:rsidP="00F4638E"/>
          <w:p w14:paraId="787A9809" w14:textId="77777777" w:rsidR="00F4638E" w:rsidRDefault="00F4638E" w:rsidP="00F4638E"/>
          <w:p w14:paraId="12582877" w14:textId="77777777" w:rsidR="00F4638E" w:rsidRDefault="00F4638E" w:rsidP="00F4638E"/>
          <w:p w14:paraId="55B838B0" w14:textId="77777777" w:rsidR="00F4638E" w:rsidRDefault="00F4638E" w:rsidP="00F4638E"/>
          <w:p w14:paraId="62B9A701" w14:textId="77777777" w:rsidR="00F4638E" w:rsidRDefault="00F4638E" w:rsidP="00F4638E"/>
          <w:p w14:paraId="0DFBAC1A" w14:textId="77777777" w:rsidR="00F4638E" w:rsidRDefault="00F4638E" w:rsidP="00F4638E"/>
          <w:p w14:paraId="069C2E09" w14:textId="77777777" w:rsidR="00F4638E" w:rsidRDefault="00F4638E" w:rsidP="00F4638E"/>
          <w:p w14:paraId="554E8ECF" w14:textId="77777777" w:rsidR="00F4638E" w:rsidRDefault="00F4638E" w:rsidP="00F4638E"/>
          <w:p w14:paraId="69342B73" w14:textId="77777777" w:rsidR="00F4638E" w:rsidRDefault="00F4638E" w:rsidP="00F4638E"/>
          <w:p w14:paraId="2096EF8B" w14:textId="77777777" w:rsidR="00F4638E" w:rsidRDefault="00F4638E" w:rsidP="00F4638E"/>
          <w:p w14:paraId="4AC8814E" w14:textId="77777777" w:rsidR="00F4638E" w:rsidRDefault="00F4638E" w:rsidP="00F4638E"/>
          <w:p w14:paraId="13D3AA27" w14:textId="77777777" w:rsidR="00F4638E" w:rsidRDefault="00F4638E" w:rsidP="00F4638E"/>
          <w:p w14:paraId="6069BFC1" w14:textId="77777777" w:rsidR="00F4638E" w:rsidRDefault="00F4638E" w:rsidP="00F4638E"/>
          <w:p w14:paraId="393B9397" w14:textId="1F83D944" w:rsidR="00F4638E" w:rsidRPr="00F4638E" w:rsidRDefault="00F4638E" w:rsidP="00F4638E"/>
        </w:tc>
        <w:tc>
          <w:tcPr>
            <w:tcW w:w="9163" w:type="dxa"/>
            <w:shd w:val="clear" w:color="auto" w:fill="auto"/>
          </w:tcPr>
          <w:p w14:paraId="74CEC0E6" w14:textId="1DC4046D" w:rsidR="00F4638E" w:rsidRPr="0041387D" w:rsidRDefault="00821484" w:rsidP="0041387D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7D">
              <w:rPr>
                <w:rFonts w:ascii="Times New Roman" w:hAnsi="Times New Roman"/>
                <w:sz w:val="24"/>
                <w:szCs w:val="24"/>
              </w:rPr>
              <w:t>Ürün, absorbe olmamalı kolay düğüm tutmalı</w:t>
            </w:r>
            <w:r w:rsidR="00F4638E" w:rsidRPr="0041387D">
              <w:rPr>
                <w:rFonts w:ascii="Times New Roman" w:hAnsi="Times New Roman"/>
                <w:sz w:val="24"/>
                <w:szCs w:val="24"/>
              </w:rPr>
              <w:t xml:space="preserve"> ve vüc</w:t>
            </w:r>
            <w:r w:rsidRPr="0041387D">
              <w:rPr>
                <w:rFonts w:ascii="Times New Roman" w:hAnsi="Times New Roman"/>
                <w:sz w:val="24"/>
                <w:szCs w:val="24"/>
              </w:rPr>
              <w:t>utta reaksiyon göstermemelidir.</w:t>
            </w:r>
          </w:p>
          <w:p w14:paraId="0966D07B" w14:textId="30954584" w:rsidR="00F4638E" w:rsidRPr="0041387D" w:rsidRDefault="00F4638E" w:rsidP="0041387D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7D">
              <w:rPr>
                <w:rFonts w:ascii="Times New Roman" w:hAnsi="Times New Roman"/>
                <w:sz w:val="24"/>
                <w:szCs w:val="24"/>
              </w:rPr>
              <w:t>Atravmatik iğn</w:t>
            </w:r>
            <w:r w:rsidR="00821484" w:rsidRPr="0041387D">
              <w:rPr>
                <w:rFonts w:ascii="Times New Roman" w:hAnsi="Times New Roman"/>
                <w:sz w:val="24"/>
                <w:szCs w:val="24"/>
              </w:rPr>
              <w:t>eliler paslanmaz çelik olmalı</w:t>
            </w:r>
            <w:r w:rsidRPr="0041387D">
              <w:rPr>
                <w:rFonts w:ascii="Times New Roman" w:hAnsi="Times New Roman"/>
                <w:sz w:val="24"/>
                <w:szCs w:val="24"/>
              </w:rPr>
              <w:t>, iğneler dokudan çok r</w:t>
            </w:r>
            <w:r w:rsidR="00821484" w:rsidRPr="0041387D">
              <w:rPr>
                <w:rFonts w:ascii="Times New Roman" w:hAnsi="Times New Roman"/>
                <w:sz w:val="24"/>
                <w:szCs w:val="24"/>
              </w:rPr>
              <w:t>ahat geçmeli, eğilip bükülmeme</w:t>
            </w:r>
            <w:r w:rsidR="00E00EF3" w:rsidRPr="0041387D">
              <w:rPr>
                <w:rFonts w:ascii="Times New Roman" w:hAnsi="Times New Roman"/>
                <w:sz w:val="24"/>
                <w:szCs w:val="24"/>
              </w:rPr>
              <w:t xml:space="preserve">li ve </w:t>
            </w:r>
            <w:r w:rsidRPr="0041387D">
              <w:rPr>
                <w:rFonts w:ascii="Times New Roman" w:hAnsi="Times New Roman"/>
                <w:sz w:val="24"/>
                <w:szCs w:val="24"/>
              </w:rPr>
              <w:t>kırılmama</w:t>
            </w:r>
            <w:r w:rsidR="00E00EF3" w:rsidRPr="0041387D">
              <w:rPr>
                <w:rFonts w:ascii="Times New Roman" w:hAnsi="Times New Roman"/>
                <w:sz w:val="24"/>
                <w:szCs w:val="24"/>
              </w:rPr>
              <w:t>lıdır.</w:t>
            </w:r>
          </w:p>
          <w:p w14:paraId="0E053D14" w14:textId="77777777" w:rsidR="00F4638E" w:rsidRPr="0041387D" w:rsidRDefault="00F4638E" w:rsidP="0041387D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7D">
              <w:rPr>
                <w:rFonts w:ascii="Times New Roman" w:hAnsi="Times New Roman"/>
                <w:sz w:val="24"/>
                <w:szCs w:val="24"/>
              </w:rPr>
              <w:t xml:space="preserve"> Yüksek alışım çelikten imal edilmiş olmalıdır. Kırılma ve bükülmeyi engellemek amacıyla iğnedeki nikel oranı (alaşımındaki) %7 den fazla olmalı veya krom oranı %10 d</w:t>
            </w:r>
            <w:bookmarkStart w:id="0" w:name="_GoBack"/>
            <w:bookmarkEnd w:id="0"/>
            <w:r w:rsidRPr="0041387D">
              <w:rPr>
                <w:rFonts w:ascii="Times New Roman" w:hAnsi="Times New Roman"/>
                <w:sz w:val="24"/>
                <w:szCs w:val="24"/>
              </w:rPr>
              <w:t xml:space="preserve">an fazla olmalıdır. </w:t>
            </w:r>
          </w:p>
          <w:p w14:paraId="08E2FD82" w14:textId="22166C12" w:rsidR="00F4638E" w:rsidRPr="0041387D" w:rsidRDefault="00F4638E" w:rsidP="0041387D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0EF3" w:rsidRPr="0041387D">
              <w:rPr>
                <w:rFonts w:ascii="Times New Roman" w:hAnsi="Times New Roman"/>
                <w:sz w:val="24"/>
                <w:szCs w:val="24"/>
              </w:rPr>
              <w:t>İ</w:t>
            </w:r>
            <w:r w:rsidRPr="0041387D">
              <w:rPr>
                <w:rFonts w:ascii="Times New Roman" w:hAnsi="Times New Roman"/>
                <w:sz w:val="24"/>
                <w:szCs w:val="24"/>
              </w:rPr>
              <w:t>ğnenin bu özellikleri taşıdığı üretici</w:t>
            </w:r>
            <w:r w:rsidR="00E00EF3" w:rsidRPr="0041387D">
              <w:rPr>
                <w:rFonts w:ascii="Times New Roman" w:hAnsi="Times New Roman"/>
                <w:sz w:val="24"/>
                <w:szCs w:val="24"/>
              </w:rPr>
              <w:t xml:space="preserve"> firma tarafından</w:t>
            </w:r>
            <w:r w:rsidRPr="0041387D">
              <w:rPr>
                <w:rFonts w:ascii="Times New Roman" w:hAnsi="Times New Roman"/>
                <w:sz w:val="24"/>
                <w:szCs w:val="24"/>
              </w:rPr>
              <w:t xml:space="preserve"> belgelendir</w:t>
            </w:r>
            <w:r w:rsidR="00E00EF3" w:rsidRPr="0041387D">
              <w:rPr>
                <w:rFonts w:ascii="Times New Roman" w:hAnsi="Times New Roman"/>
                <w:sz w:val="24"/>
                <w:szCs w:val="24"/>
              </w:rPr>
              <w:t>ilmelidir</w:t>
            </w:r>
            <w:r w:rsidRPr="004138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ACB29F9" w14:textId="1F2A312E" w:rsidR="00F4638E" w:rsidRPr="0041387D" w:rsidRDefault="00F4638E" w:rsidP="0041387D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7D">
              <w:rPr>
                <w:rFonts w:ascii="Times New Roman" w:hAnsi="Times New Roman"/>
                <w:sz w:val="24"/>
                <w:szCs w:val="24"/>
              </w:rPr>
              <w:t xml:space="preserve"> Yüzeyi pürüzsüz olmalı ve iğne keskinliğini/sivriliğini operasyon boyunca devam ettirmeli,</w:t>
            </w:r>
            <w:r w:rsidR="00821484" w:rsidRPr="0041387D">
              <w:rPr>
                <w:rFonts w:ascii="Times New Roman" w:hAnsi="Times New Roman"/>
                <w:sz w:val="24"/>
                <w:szCs w:val="24"/>
              </w:rPr>
              <w:t xml:space="preserve"> k</w:t>
            </w:r>
            <w:r w:rsidRPr="0041387D">
              <w:rPr>
                <w:rFonts w:ascii="Times New Roman" w:hAnsi="Times New Roman"/>
                <w:sz w:val="24"/>
                <w:szCs w:val="24"/>
              </w:rPr>
              <w:t>ırılmaya karşı direncini kaybetmemelidir.</w:t>
            </w:r>
          </w:p>
          <w:p w14:paraId="571154BD" w14:textId="6AAB103F" w:rsidR="00F4638E" w:rsidRPr="0041387D" w:rsidRDefault="00F4638E" w:rsidP="0041387D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7D">
              <w:rPr>
                <w:rFonts w:ascii="Times New Roman" w:hAnsi="Times New Roman"/>
                <w:sz w:val="24"/>
                <w:szCs w:val="24"/>
              </w:rPr>
              <w:t>Sütur pürüzsüz olmalıdır, tiftiklenmemelidir, kolay düğüm kaydırılmalı,</w:t>
            </w:r>
            <w:r w:rsidR="00821484" w:rsidRPr="0041387D">
              <w:rPr>
                <w:rFonts w:ascii="Times New Roman" w:hAnsi="Times New Roman"/>
                <w:sz w:val="24"/>
                <w:szCs w:val="24"/>
              </w:rPr>
              <w:t xml:space="preserve"> d</w:t>
            </w:r>
            <w:r w:rsidRPr="0041387D">
              <w:rPr>
                <w:rFonts w:ascii="Times New Roman" w:hAnsi="Times New Roman"/>
                <w:sz w:val="24"/>
                <w:szCs w:val="24"/>
              </w:rPr>
              <w:t xml:space="preserve">üğüm güvenliği sağlamalı, </w:t>
            </w:r>
            <w:r w:rsidR="00821484" w:rsidRPr="0041387D">
              <w:rPr>
                <w:rFonts w:ascii="Times New Roman" w:hAnsi="Times New Roman"/>
                <w:sz w:val="24"/>
                <w:szCs w:val="24"/>
              </w:rPr>
              <w:t>ü</w:t>
            </w:r>
            <w:r w:rsidRPr="0041387D">
              <w:rPr>
                <w:rFonts w:ascii="Times New Roman" w:hAnsi="Times New Roman"/>
                <w:sz w:val="24"/>
                <w:szCs w:val="24"/>
              </w:rPr>
              <w:t>zerine bakteri yerleşecek boşluklar olmamalıdır.</w:t>
            </w:r>
          </w:p>
          <w:p w14:paraId="3A18E375" w14:textId="77777777" w:rsidR="00F4638E" w:rsidRPr="0041387D" w:rsidRDefault="00F4638E" w:rsidP="0041387D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7D">
              <w:rPr>
                <w:rFonts w:ascii="Times New Roman" w:hAnsi="Times New Roman"/>
                <w:sz w:val="24"/>
                <w:szCs w:val="24"/>
              </w:rPr>
              <w:t xml:space="preserve"> Cerrahi sentetik vücutta absorbe olmayan monoflament poliamid 66’dan veya poliamid 6/66’da imal edilmiş olmalıdır.</w:t>
            </w:r>
          </w:p>
          <w:p w14:paraId="28B2522F" w14:textId="77777777" w:rsidR="00F4638E" w:rsidRPr="0041387D" w:rsidRDefault="00F4638E" w:rsidP="0041387D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7D">
              <w:rPr>
                <w:rFonts w:ascii="Times New Roman" w:hAnsi="Times New Roman"/>
                <w:sz w:val="24"/>
                <w:szCs w:val="24"/>
              </w:rPr>
              <w:t>Cerrahi sütur iğnesinin gövdesi portegüden kaymayı engellemeyecek yapıda olmalıdır.</w:t>
            </w:r>
          </w:p>
          <w:p w14:paraId="2AF55584" w14:textId="77777777" w:rsidR="00F4638E" w:rsidRPr="0041387D" w:rsidRDefault="00F4638E" w:rsidP="0041387D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7D">
              <w:rPr>
                <w:rFonts w:ascii="Times New Roman" w:hAnsi="Times New Roman"/>
                <w:sz w:val="24"/>
                <w:szCs w:val="24"/>
              </w:rPr>
              <w:t>Sütur ile iğne birleşme noktası dokulardan geçerken travma yaratmamalı, bu nedenle iğne ile sütur birleşme noktası çapı uyumlu olmalıdır.</w:t>
            </w:r>
          </w:p>
          <w:p w14:paraId="20DE7DD9" w14:textId="77777777" w:rsidR="00F4638E" w:rsidRPr="0041387D" w:rsidRDefault="00F4638E" w:rsidP="0041387D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7D">
              <w:rPr>
                <w:rFonts w:ascii="Times New Roman" w:hAnsi="Times New Roman"/>
                <w:sz w:val="24"/>
                <w:szCs w:val="24"/>
              </w:rPr>
              <w:t>İğneler dikiş süresince dokudan rahat geçme özelliğini yitirmemelidir.</w:t>
            </w:r>
          </w:p>
          <w:p w14:paraId="312CD741" w14:textId="77777777" w:rsidR="00F4638E" w:rsidRPr="0041387D" w:rsidRDefault="00F4638E" w:rsidP="0041387D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7D">
              <w:rPr>
                <w:rFonts w:ascii="Times New Roman" w:hAnsi="Times New Roman"/>
                <w:sz w:val="24"/>
                <w:szCs w:val="24"/>
              </w:rPr>
              <w:t>Dokulardan kolaylıkla ve minimum travmayla deforme olmadan geçmelidir.</w:t>
            </w:r>
          </w:p>
          <w:p w14:paraId="1B15D1CB" w14:textId="69949872" w:rsidR="00F4638E" w:rsidRPr="0041387D" w:rsidRDefault="00F4638E" w:rsidP="0041387D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87D">
              <w:rPr>
                <w:rFonts w:ascii="Times New Roman" w:hAnsi="Times New Roman"/>
                <w:sz w:val="24"/>
                <w:szCs w:val="24"/>
              </w:rPr>
              <w:t xml:space="preserve">İğne ve </w:t>
            </w:r>
            <w:proofErr w:type="spellStart"/>
            <w:r w:rsidRPr="0041387D">
              <w:rPr>
                <w:rFonts w:ascii="Times New Roman" w:hAnsi="Times New Roman"/>
                <w:sz w:val="24"/>
                <w:szCs w:val="24"/>
              </w:rPr>
              <w:t>sütur</w:t>
            </w:r>
            <w:proofErr w:type="spellEnd"/>
            <w:r w:rsidRPr="0041387D">
              <w:rPr>
                <w:rFonts w:ascii="Times New Roman" w:hAnsi="Times New Roman"/>
                <w:sz w:val="24"/>
                <w:szCs w:val="24"/>
              </w:rPr>
              <w:t xml:space="preserve"> çapı birbirine uyumlu olmalı, böylece iğne sütur birleşme noktası dokulardan geçerken travma yaratmamalıdır</w:t>
            </w:r>
          </w:p>
        </w:tc>
      </w:tr>
      <w:tr w:rsidR="00F4638E" w14:paraId="259966EE" w14:textId="77777777" w:rsidTr="00E00EF3">
        <w:trPr>
          <w:trHeight w:val="3039"/>
        </w:trPr>
        <w:tc>
          <w:tcPr>
            <w:tcW w:w="1327" w:type="dxa"/>
          </w:tcPr>
          <w:p w14:paraId="3B34A01B" w14:textId="77777777" w:rsidR="00F4638E" w:rsidRPr="004B7494" w:rsidRDefault="00F4638E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163" w:type="dxa"/>
            <w:shd w:val="clear" w:color="auto" w:fill="auto"/>
          </w:tcPr>
          <w:p w14:paraId="37C6B277" w14:textId="77777777" w:rsidR="00F4638E" w:rsidRPr="0041387D" w:rsidRDefault="00F4638E" w:rsidP="0041387D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7D">
              <w:rPr>
                <w:rFonts w:ascii="Times New Roman" w:hAnsi="Times New Roman"/>
                <w:sz w:val="24"/>
                <w:szCs w:val="24"/>
              </w:rPr>
              <w:t xml:space="preserve"> İğne ile sutur birleşim noktasının bağlantısı sağlam yapılmalı, birleşme noktasından ayrılma yaşanmamalıdır.</w:t>
            </w:r>
          </w:p>
          <w:p w14:paraId="5CB95E03" w14:textId="77777777" w:rsidR="00F4638E" w:rsidRPr="0041387D" w:rsidRDefault="00F4638E" w:rsidP="0041387D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7D">
              <w:rPr>
                <w:rFonts w:ascii="Times New Roman" w:hAnsi="Times New Roman"/>
                <w:sz w:val="24"/>
                <w:szCs w:val="24"/>
              </w:rPr>
              <w:t xml:space="preserve"> İğne iplik birleşim yerindeki iplik yapısı, doku geçişindeki performansını olumsuz etkilememelidir.</w:t>
            </w:r>
          </w:p>
          <w:p w14:paraId="6CEEF0D1" w14:textId="7806DC05" w:rsidR="00F4638E" w:rsidRPr="0041387D" w:rsidRDefault="00F4638E" w:rsidP="0041387D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7D">
              <w:rPr>
                <w:rFonts w:ascii="Times New Roman" w:hAnsi="Times New Roman"/>
                <w:sz w:val="24"/>
                <w:szCs w:val="24"/>
              </w:rPr>
              <w:t>Yuvarlak iğneli kodların uç yapısı en az 10:1 incelme oranına sahip olmalıdır. İğnelerin çelik alaşımları dayanıklılığı ve esnek</w:t>
            </w:r>
            <w:r w:rsidR="0039609D" w:rsidRPr="0041387D">
              <w:rPr>
                <w:rFonts w:ascii="Times New Roman" w:hAnsi="Times New Roman"/>
                <w:sz w:val="24"/>
                <w:szCs w:val="24"/>
              </w:rPr>
              <w:t>liği sağlayabilmesi amacıyla %10</w:t>
            </w:r>
            <w:r w:rsidRPr="0041387D">
              <w:rPr>
                <w:rFonts w:ascii="Times New Roman" w:hAnsi="Times New Roman"/>
                <w:sz w:val="24"/>
                <w:szCs w:val="24"/>
              </w:rPr>
              <w:t xml:space="preserve">-19 arasında krom içermelidir. </w:t>
            </w:r>
          </w:p>
        </w:tc>
      </w:tr>
      <w:tr w:rsidR="00AA78DF" w14:paraId="23C4DE4A" w14:textId="77777777" w:rsidTr="00FE01C9">
        <w:trPr>
          <w:trHeight w:val="5872"/>
        </w:trPr>
        <w:tc>
          <w:tcPr>
            <w:tcW w:w="1327" w:type="dxa"/>
          </w:tcPr>
          <w:p w14:paraId="742FD8E6" w14:textId="77777777" w:rsidR="00AA78DF" w:rsidRPr="004B7494" w:rsidRDefault="00AA78DF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1021FA02" w14:textId="77777777" w:rsidR="00AA78DF" w:rsidRPr="004B7494" w:rsidRDefault="00AA78DF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163" w:type="dxa"/>
            <w:shd w:val="clear" w:color="auto" w:fill="auto"/>
          </w:tcPr>
          <w:p w14:paraId="176D5DAE" w14:textId="5742AA39" w:rsidR="00AA78DF" w:rsidRPr="0041387D" w:rsidRDefault="00AA78DF" w:rsidP="0041387D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7D">
              <w:rPr>
                <w:rFonts w:ascii="Times New Roman" w:hAnsi="Times New Roman"/>
                <w:sz w:val="24"/>
                <w:szCs w:val="24"/>
              </w:rPr>
              <w:t>Süturlar paketten çıktığında sütur paket hafızası</w:t>
            </w:r>
            <w:r w:rsidR="00821484" w:rsidRPr="0041387D">
              <w:rPr>
                <w:rFonts w:ascii="Times New Roman" w:hAnsi="Times New Roman"/>
                <w:sz w:val="24"/>
                <w:szCs w:val="24"/>
              </w:rPr>
              <w:t xml:space="preserve"> minimum olmalı ve sütur paketten</w:t>
            </w:r>
            <w:r w:rsidRPr="0041387D">
              <w:rPr>
                <w:rFonts w:ascii="Times New Roman" w:hAnsi="Times New Roman"/>
                <w:sz w:val="24"/>
                <w:szCs w:val="24"/>
              </w:rPr>
              <w:t xml:space="preserve"> çıktığında düz şekilde olmalıdır. Sütur yüzeyi pürüzsüz olmalı ve bu sayede bakteri oluşumunu engellemelidir.</w:t>
            </w:r>
          </w:p>
          <w:p w14:paraId="59AFAC4F" w14:textId="46EF1457" w:rsidR="00AA78DF" w:rsidRPr="0041387D" w:rsidRDefault="00AA78DF" w:rsidP="0041387D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7D">
              <w:rPr>
                <w:rFonts w:ascii="Times New Roman" w:hAnsi="Times New Roman"/>
                <w:sz w:val="24"/>
                <w:szCs w:val="24"/>
              </w:rPr>
              <w:t xml:space="preserve">Sutür ambalajının kullanım esnasına kadar sterilizasyonu su, nemden, ısıdan, ışıktan korunması için her bir dış ambalajı; bir yüzü şeffaf diğer yüzü tyvek </w:t>
            </w:r>
            <w:r w:rsidR="006C4FBF" w:rsidRPr="0041387D">
              <w:rPr>
                <w:rFonts w:ascii="Times New Roman" w:hAnsi="Times New Roman"/>
                <w:sz w:val="24"/>
                <w:szCs w:val="24"/>
              </w:rPr>
              <w:t>kâğıt</w:t>
            </w:r>
            <w:r w:rsidR="00137515" w:rsidRPr="0041387D">
              <w:rPr>
                <w:rFonts w:ascii="Times New Roman" w:hAnsi="Times New Roman"/>
                <w:sz w:val="24"/>
                <w:szCs w:val="24"/>
              </w:rPr>
              <w:t xml:space="preserve"> veya bir yüzü şeffaf diğer yüzü su ve nem geçirmeyen </w:t>
            </w:r>
            <w:r w:rsidR="006C4FBF" w:rsidRPr="0041387D">
              <w:rPr>
                <w:rFonts w:ascii="Times New Roman" w:hAnsi="Times New Roman"/>
                <w:sz w:val="24"/>
                <w:szCs w:val="24"/>
              </w:rPr>
              <w:t>kâğıt</w:t>
            </w:r>
            <w:r w:rsidR="00137515" w:rsidRPr="0041387D">
              <w:rPr>
                <w:rFonts w:ascii="Times New Roman" w:hAnsi="Times New Roman"/>
                <w:sz w:val="24"/>
                <w:szCs w:val="24"/>
              </w:rPr>
              <w:t xml:space="preserve"> olmalı,</w:t>
            </w:r>
            <w:r w:rsidRPr="0041387D">
              <w:rPr>
                <w:rFonts w:ascii="Times New Roman" w:hAnsi="Times New Roman"/>
                <w:sz w:val="24"/>
                <w:szCs w:val="24"/>
              </w:rPr>
              <w:t xml:space="preserve"> iç ambalajı; blister</w:t>
            </w:r>
            <w:r w:rsidR="00137515" w:rsidRPr="0041387D">
              <w:rPr>
                <w:rFonts w:ascii="Times New Roman" w:hAnsi="Times New Roman"/>
                <w:sz w:val="24"/>
                <w:szCs w:val="24"/>
              </w:rPr>
              <w:t xml:space="preserve"> veya </w:t>
            </w:r>
            <w:r w:rsidRPr="0041387D">
              <w:rPr>
                <w:rFonts w:ascii="Times New Roman" w:hAnsi="Times New Roman"/>
                <w:sz w:val="24"/>
                <w:szCs w:val="24"/>
              </w:rPr>
              <w:t>karton</w:t>
            </w:r>
            <w:r w:rsidR="00137515" w:rsidRPr="0041387D">
              <w:rPr>
                <w:rFonts w:ascii="Times New Roman" w:hAnsi="Times New Roman"/>
                <w:sz w:val="24"/>
                <w:szCs w:val="24"/>
              </w:rPr>
              <w:t xml:space="preserve"> veya </w:t>
            </w:r>
            <w:r w:rsidR="00821484" w:rsidRPr="0041387D">
              <w:rPr>
                <w:rFonts w:ascii="Times New Roman" w:hAnsi="Times New Roman"/>
                <w:sz w:val="24"/>
                <w:szCs w:val="24"/>
              </w:rPr>
              <w:t>plastik olmalıdır. İç ve d</w:t>
            </w:r>
            <w:r w:rsidRPr="0041387D">
              <w:rPr>
                <w:rFonts w:ascii="Times New Roman" w:hAnsi="Times New Roman"/>
                <w:sz w:val="24"/>
                <w:szCs w:val="24"/>
              </w:rPr>
              <w:t>ış ambalaj üzerinde ürün ile ilgili tüm bilgiler bulunmalıdır.</w:t>
            </w:r>
          </w:p>
          <w:p w14:paraId="43723335" w14:textId="6055431B" w:rsidR="00AA78DF" w:rsidRPr="0041387D" w:rsidRDefault="00AA78DF" w:rsidP="0041387D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7D">
              <w:rPr>
                <w:rFonts w:ascii="Times New Roman" w:hAnsi="Times New Roman"/>
                <w:sz w:val="24"/>
                <w:szCs w:val="24"/>
              </w:rPr>
              <w:t>Problem durumunda ürünün takip edilebilmesi için steril olarak masaya açılan iç paketlerin üzerinde ürün lot numarası bilgisi bulunmalıdır. Ayrıca malzeme ile ilgili tüm bilgiler, oku</w:t>
            </w:r>
            <w:r w:rsidR="00821484" w:rsidRPr="0041387D">
              <w:rPr>
                <w:rFonts w:ascii="Times New Roman" w:hAnsi="Times New Roman"/>
                <w:sz w:val="24"/>
                <w:szCs w:val="24"/>
              </w:rPr>
              <w:t>naklı ve bozulmayacak şekilde olmalı</w:t>
            </w:r>
            <w:r w:rsidRPr="0041387D">
              <w:rPr>
                <w:rFonts w:ascii="Times New Roman" w:hAnsi="Times New Roman"/>
                <w:sz w:val="24"/>
                <w:szCs w:val="24"/>
              </w:rPr>
              <w:t xml:space="preserve"> ve iç ambalaj üzerindeki bilgiler aynı olmalıdır.</w:t>
            </w:r>
          </w:p>
          <w:p w14:paraId="0F23504C" w14:textId="77777777" w:rsidR="00AA78DF" w:rsidRPr="0041387D" w:rsidRDefault="00AA78DF" w:rsidP="0041387D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7D">
              <w:rPr>
                <w:rFonts w:ascii="Times New Roman" w:hAnsi="Times New Roman"/>
                <w:sz w:val="24"/>
                <w:szCs w:val="24"/>
              </w:rPr>
              <w:t>Kalınlıkları, mukavemetleri, düğüm atma kabiliyetleri ve iğne iplik kombinasyonları USP ve Avrupa Farmakopisi standartlarına uygun olmalıdır.</w:t>
            </w:r>
          </w:p>
          <w:p w14:paraId="0280D700" w14:textId="74A32042" w:rsidR="006C4FBF" w:rsidRPr="0041387D" w:rsidRDefault="00AA78DF" w:rsidP="0041387D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7D">
              <w:rPr>
                <w:rFonts w:ascii="Times New Roman" w:hAnsi="Times New Roman"/>
                <w:sz w:val="24"/>
                <w:szCs w:val="24"/>
              </w:rPr>
              <w:t>Gama ışını ya da Etilen Oksit ile steril edilmiş olmalıdır.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6C4FBF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3F6DE" w14:textId="77777777" w:rsidR="00EB65D8" w:rsidRDefault="00EB65D8" w:rsidP="00CC1546">
      <w:pPr>
        <w:spacing w:after="0" w:line="240" w:lineRule="auto"/>
      </w:pPr>
      <w:r>
        <w:separator/>
      </w:r>
    </w:p>
  </w:endnote>
  <w:endnote w:type="continuationSeparator" w:id="0">
    <w:p w14:paraId="462CE9C8" w14:textId="77777777" w:rsidR="00EB65D8" w:rsidRDefault="00EB65D8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D0085" w14:textId="77777777" w:rsidR="00EB65D8" w:rsidRDefault="00EB65D8" w:rsidP="00CC1546">
      <w:pPr>
        <w:spacing w:after="0" w:line="240" w:lineRule="auto"/>
      </w:pPr>
      <w:r>
        <w:separator/>
      </w:r>
    </w:p>
  </w:footnote>
  <w:footnote w:type="continuationSeparator" w:id="0">
    <w:p w14:paraId="3B4589FB" w14:textId="77777777" w:rsidR="00EB65D8" w:rsidRDefault="00EB65D8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78067" w14:textId="1C8FD2C0" w:rsidR="00CC1546" w:rsidRPr="00E00EF3" w:rsidRDefault="000B2333" w:rsidP="00821484">
    <w:pPr>
      <w:spacing w:before="120" w:after="120" w:line="360" w:lineRule="auto"/>
      <w:contextualSpacing/>
      <w:rPr>
        <w:rFonts w:ascii="Times New Roman" w:hAnsi="Times New Roman"/>
        <w:b/>
        <w:sz w:val="24"/>
        <w:szCs w:val="24"/>
      </w:rPr>
    </w:pPr>
    <w:r w:rsidRPr="00E00EF3">
      <w:rPr>
        <w:rFonts w:ascii="Times New Roman" w:hAnsi="Times New Roman"/>
        <w:b/>
        <w:sz w:val="24"/>
        <w:szCs w:val="24"/>
      </w:rPr>
      <w:t>SMT2787-CERRAHİ S</w:t>
    </w:r>
    <w:r w:rsidR="00E801C7" w:rsidRPr="00E00EF3">
      <w:rPr>
        <w:rFonts w:ascii="Times New Roman" w:hAnsi="Times New Roman"/>
        <w:b/>
        <w:sz w:val="24"/>
        <w:szCs w:val="24"/>
      </w:rPr>
      <w:t>Ü</w:t>
    </w:r>
    <w:r w:rsidRPr="00E00EF3">
      <w:rPr>
        <w:rFonts w:ascii="Times New Roman" w:hAnsi="Times New Roman"/>
        <w:b/>
        <w:sz w:val="24"/>
        <w:szCs w:val="24"/>
      </w:rPr>
      <w:t>T</w:t>
    </w:r>
    <w:r w:rsidR="00E801C7" w:rsidRPr="00E00EF3">
      <w:rPr>
        <w:rFonts w:ascii="Times New Roman" w:hAnsi="Times New Roman"/>
        <w:b/>
        <w:sz w:val="24"/>
        <w:szCs w:val="24"/>
      </w:rPr>
      <w:t>U</w:t>
    </w:r>
    <w:r w:rsidR="00821484" w:rsidRPr="00E00EF3">
      <w:rPr>
        <w:rFonts w:ascii="Times New Roman" w:hAnsi="Times New Roman"/>
        <w:b/>
        <w:sz w:val="24"/>
        <w:szCs w:val="24"/>
      </w:rPr>
      <w:t xml:space="preserve">R, POLİAMİD (NAYLON), SENTETİK, </w:t>
    </w:r>
    <w:r w:rsidRPr="00E00EF3">
      <w:rPr>
        <w:rFonts w:ascii="Times New Roman" w:hAnsi="Times New Roman"/>
        <w:b/>
        <w:sz w:val="24"/>
        <w:szCs w:val="24"/>
      </w:rPr>
      <w:t>MONOFLAMENT, EMİLEMEYEN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F34B5"/>
    <w:multiLevelType w:val="hybridMultilevel"/>
    <w:tmpl w:val="42B449F0"/>
    <w:lvl w:ilvl="0" w:tplc="044E9A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465BE"/>
    <w:rsid w:val="000B2333"/>
    <w:rsid w:val="000D04A5"/>
    <w:rsid w:val="00104579"/>
    <w:rsid w:val="001173F1"/>
    <w:rsid w:val="00137515"/>
    <w:rsid w:val="00195FEB"/>
    <w:rsid w:val="001A0D55"/>
    <w:rsid w:val="00205531"/>
    <w:rsid w:val="002618E3"/>
    <w:rsid w:val="002B66F4"/>
    <w:rsid w:val="00325297"/>
    <w:rsid w:val="00331203"/>
    <w:rsid w:val="00336300"/>
    <w:rsid w:val="0039609D"/>
    <w:rsid w:val="0041387D"/>
    <w:rsid w:val="004B7494"/>
    <w:rsid w:val="006512CD"/>
    <w:rsid w:val="006C4FBF"/>
    <w:rsid w:val="00821484"/>
    <w:rsid w:val="00842FB2"/>
    <w:rsid w:val="00936492"/>
    <w:rsid w:val="00A0594E"/>
    <w:rsid w:val="00A24B0E"/>
    <w:rsid w:val="00A76582"/>
    <w:rsid w:val="00AA78DF"/>
    <w:rsid w:val="00AF00E1"/>
    <w:rsid w:val="00BA3150"/>
    <w:rsid w:val="00BC57E7"/>
    <w:rsid w:val="00BD4237"/>
    <w:rsid w:val="00BD6076"/>
    <w:rsid w:val="00BE745C"/>
    <w:rsid w:val="00BF4EE4"/>
    <w:rsid w:val="00BF5AAE"/>
    <w:rsid w:val="00CC1546"/>
    <w:rsid w:val="00E00EF3"/>
    <w:rsid w:val="00E70BF5"/>
    <w:rsid w:val="00E801C7"/>
    <w:rsid w:val="00EB65D8"/>
    <w:rsid w:val="00ED3775"/>
    <w:rsid w:val="00F307B3"/>
    <w:rsid w:val="00F4638E"/>
    <w:rsid w:val="00F71C63"/>
    <w:rsid w:val="00F87C1A"/>
    <w:rsid w:val="00FA2D84"/>
    <w:rsid w:val="00FE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9E5BF-2D79-430A-A006-483D25F2F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ÇOLAK BOZDOĞAN</cp:lastModifiedBy>
  <cp:revision>2</cp:revision>
  <dcterms:created xsi:type="dcterms:W3CDTF">2025-03-19T07:31:00Z</dcterms:created>
  <dcterms:modified xsi:type="dcterms:W3CDTF">2025-03-19T07:31:00Z</dcterms:modified>
</cp:coreProperties>
</file>