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371658" w:rsidRDefault="006113D1" w:rsidP="008C51C1">
      <w:pPr>
        <w:ind w:right="-851"/>
        <w:rPr>
          <w:rFonts w:ascii="Times New Roman" w:hAnsi="Times New Roman" w:cs="Times New Roman"/>
          <w:b/>
          <w:sz w:val="24"/>
          <w:szCs w:val="24"/>
        </w:rPr>
      </w:pPr>
      <w:r w:rsidRPr="00371658">
        <w:rPr>
          <w:rFonts w:ascii="Times New Roman" w:hAnsi="Times New Roman" w:cs="Times New Roman"/>
          <w:b/>
          <w:sz w:val="24"/>
          <w:szCs w:val="24"/>
        </w:rPr>
        <w:t>SMT1726-</w:t>
      </w:r>
      <w:r w:rsidRPr="00371658">
        <w:rPr>
          <w:rFonts w:ascii="Times New Roman" w:hAnsi="Times New Roman" w:cs="Times New Roman"/>
          <w:b/>
          <w:color w:val="343434"/>
          <w:sz w:val="24"/>
          <w:szCs w:val="24"/>
          <w:shd w:val="clear" w:color="auto" w:fill="FFFFFF"/>
        </w:rPr>
        <w:t>HEMOPERFÜZYON KARTUŞU (ADSORBAN MEMBRAN), KÖMÜR İÇERMEYEN</w:t>
      </w:r>
    </w:p>
    <w:tbl>
      <w:tblPr>
        <w:tblStyle w:val="TabloKlavuzu"/>
        <w:tblW w:w="9909" w:type="dxa"/>
        <w:tblLook w:val="04A0" w:firstRow="1" w:lastRow="0" w:firstColumn="1" w:lastColumn="0" w:noHBand="0" w:noVBand="1"/>
      </w:tblPr>
      <w:tblGrid>
        <w:gridCol w:w="1700"/>
        <w:gridCol w:w="8209"/>
      </w:tblGrid>
      <w:tr w:rsidR="00927B9C" w:rsidRPr="00EE1A5B" w:rsidTr="004643A6">
        <w:trPr>
          <w:trHeight w:val="3318"/>
        </w:trPr>
        <w:tc>
          <w:tcPr>
            <w:tcW w:w="1700" w:type="dxa"/>
          </w:tcPr>
          <w:p w:rsidR="00927B9C" w:rsidRPr="00EE1A5B" w:rsidRDefault="00927B9C" w:rsidP="000A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EE1A5B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8209" w:type="dxa"/>
          </w:tcPr>
          <w:p w:rsidR="00800A43" w:rsidRPr="000707CE" w:rsidRDefault="004D10AE" w:rsidP="000707C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Hemoperfüzyon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7C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artuşu</w:t>
            </w:r>
            <w:r w:rsidR="000707CE"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kömür içermeyen; ağır akut böbrek yetmezliği, kronik böbrek yetmezliği, üremik sendrom ve kronik hemodiyaliz tedavisinde ortaya çıkabilen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periferik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nöropati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, tedaviye dirençli cilt kaşıntıları, üremik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ensefalopati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renal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osteodistrofi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vasküler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 kalsifikasyon, tedaviye dirençli hipertansiyon, kalp damar hastalıkları ve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malnütrisyon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 gibi komplikasyonlarda kullanılabilmelidir. Ayrıca ürün; akut zehirlenmeler,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biyotoksinler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, pestisitler, herbisitler,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rodentisitler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, endüstriyel zehirlenmeler ve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Xa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 inhibitörleri kullanan hastalarda bu ilaçların etkilerini tersine çevirmek amacıyla, bu durumlarda rol oynayan çeşitli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 maddelerin birikimlerini uzaklaştırmak için kullanılabilme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endikasyonuna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</w:tc>
      </w:tr>
      <w:tr w:rsidR="00927B9C" w:rsidRPr="00EE1A5B" w:rsidTr="004643A6">
        <w:trPr>
          <w:trHeight w:val="4177"/>
        </w:trPr>
        <w:tc>
          <w:tcPr>
            <w:tcW w:w="1700" w:type="dxa"/>
          </w:tcPr>
          <w:p w:rsidR="00927B9C" w:rsidRPr="00EE1A5B" w:rsidRDefault="00927B9C" w:rsidP="000A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A5B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8209" w:type="dxa"/>
          </w:tcPr>
          <w:p w:rsidR="000707CE" w:rsidRPr="000707CE" w:rsidRDefault="000707CE" w:rsidP="0084494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adsorbe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 edici kısmı, çift çapraz bağlı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stiren-divinilbenzen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 kopolimerlerden üretilmiş reçine içermelidir. Bu yapı, kanda bulunan orta ve büyük moleküllü toksinlerin, proteine bağlı üremik maddelerin ve çeşitli zehirlenme ajanlarının etkin şekilde </w:t>
            </w:r>
            <w:proofErr w:type="spellStart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>adsorpsiyon</w:t>
            </w:r>
            <w:proofErr w:type="spellEnd"/>
            <w:r w:rsidRPr="000707CE">
              <w:rPr>
                <w:rFonts w:ascii="Times New Roman" w:hAnsi="Times New Roman" w:cs="Times New Roman"/>
                <w:sz w:val="24"/>
                <w:szCs w:val="24"/>
              </w:rPr>
              <w:t xml:space="preserve"> yoluyla uzaklaştırılmasını sağlamalıdır.</w:t>
            </w:r>
          </w:p>
          <w:p w:rsidR="00844949" w:rsidRPr="00EE1A5B" w:rsidRDefault="000A0ED0" w:rsidP="0084494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Filtrenin yapısı </w:t>
            </w:r>
            <w:proofErr w:type="spellStart"/>
            <w:r w:rsidRPr="00EE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polipropilen</w:t>
            </w:r>
            <w:proofErr w:type="spellEnd"/>
            <w:r w:rsidRPr="00EE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71658" w:rsidRPr="00EE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veya </w:t>
            </w:r>
            <w:proofErr w:type="spellStart"/>
            <w:r w:rsidR="00371658" w:rsidRPr="00EE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polikarbonat</w:t>
            </w:r>
            <w:proofErr w:type="spellEnd"/>
            <w:r w:rsidR="00371658" w:rsidRPr="00EE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</w:t>
            </w:r>
            <w:r w:rsidR="00844949" w:rsidRPr="00EE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dır.</w:t>
            </w:r>
          </w:p>
          <w:p w:rsidR="00927B9C" w:rsidRPr="00EE1A5B" w:rsidRDefault="000A0ED0" w:rsidP="000A0E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 olmalı ve hiçbir biyolojik bileşeni olmamalıdır.</w:t>
            </w:r>
          </w:p>
          <w:p w:rsidR="000A0ED0" w:rsidRPr="00EE1A5B" w:rsidRDefault="000A0ED0" w:rsidP="000A0E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Ürününü sütün ve kapak kısmı medikal sınıf </w:t>
            </w:r>
            <w:proofErr w:type="spellStart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polikarbonattan</w:t>
            </w:r>
            <w:proofErr w:type="spellEnd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 üretilmeli ve küçük göz teknolojik yapısıyla emme yeteneğine sahip olmalıdır.</w:t>
            </w:r>
          </w:p>
          <w:p w:rsidR="000A0ED0" w:rsidRPr="00EE1A5B" w:rsidRDefault="00D36229" w:rsidP="000A0E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Yüksek kan akım hızı 250</w:t>
            </w:r>
            <w:r w:rsidR="000A0ED0" w:rsidRPr="00EE1A5B">
              <w:rPr>
                <w:rFonts w:ascii="Times New Roman" w:hAnsi="Times New Roman" w:cs="Times New Roman"/>
                <w:sz w:val="24"/>
                <w:szCs w:val="24"/>
              </w:rPr>
              <w:t>mL/</w:t>
            </w:r>
            <w:proofErr w:type="spellStart"/>
            <w:r w:rsidR="000A0ED0" w:rsidRPr="00EE1A5B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="000A3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ED0"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olmalı ve ürün iç </w:t>
            </w:r>
            <w:r w:rsidR="000A36E0">
              <w:rPr>
                <w:rFonts w:ascii="Times New Roman" w:hAnsi="Times New Roman" w:cs="Times New Roman"/>
                <w:sz w:val="24"/>
                <w:szCs w:val="24"/>
              </w:rPr>
              <w:t xml:space="preserve">hacmi </w:t>
            </w: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949" w:rsidRPr="00EE1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0 -350</w:t>
            </w:r>
            <w:r w:rsidR="000A3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ED0" w:rsidRPr="00EE1A5B">
              <w:rPr>
                <w:rFonts w:ascii="Times New Roman" w:hAnsi="Times New Roman" w:cs="Times New Roman"/>
                <w:sz w:val="24"/>
                <w:szCs w:val="24"/>
              </w:rPr>
              <w:t>ml arasında ol</w:t>
            </w: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:rsidR="000A0ED0" w:rsidRPr="00EE1A5B" w:rsidRDefault="000A0ED0" w:rsidP="000A0E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Ürün içi </w:t>
            </w:r>
            <w:r w:rsidRPr="00EE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özellikle fizyolojik serum </w:t>
            </w:r>
            <w:r w:rsidR="00371658" w:rsidRPr="00EE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koruma solüsyonu </w:t>
            </w:r>
            <w:r w:rsidRPr="00EE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ile doldurularak korunmalıdır.</w:t>
            </w:r>
          </w:p>
        </w:tc>
      </w:tr>
      <w:tr w:rsidR="00927B9C" w:rsidRPr="00EE1A5B" w:rsidTr="004643A6">
        <w:trPr>
          <w:trHeight w:val="2194"/>
        </w:trPr>
        <w:tc>
          <w:tcPr>
            <w:tcW w:w="1700" w:type="dxa"/>
          </w:tcPr>
          <w:p w:rsidR="00927B9C" w:rsidRPr="00EE1A5B" w:rsidRDefault="00927B9C" w:rsidP="000A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A5B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8209" w:type="dxa"/>
          </w:tcPr>
          <w:p w:rsidR="00D2139D" w:rsidRPr="00EE1A5B" w:rsidRDefault="00D2139D" w:rsidP="000A0E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371658" w:rsidRPr="00EE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kullanım talimatlarına göre prime(yıkama) edildikten sonra </w:t>
            </w:r>
            <w:r w:rsidRPr="00EE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 işlemden geçmeden tam kanla çalışabilmelidir.</w:t>
            </w:r>
          </w:p>
          <w:p w:rsidR="000A0ED0" w:rsidRPr="00EE1A5B" w:rsidRDefault="000A0ED0" w:rsidP="000A0E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Üründe gerçekleştirilecek işlemler </w:t>
            </w:r>
            <w:proofErr w:type="spellStart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otolog</w:t>
            </w:r>
            <w:proofErr w:type="spellEnd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 olmalı ve herhangi bir kan ve kan ürünlerine gereksinim duymamalı.</w:t>
            </w:r>
          </w:p>
          <w:p w:rsidR="000A0ED0" w:rsidRPr="00EE1A5B" w:rsidRDefault="000A0ED0" w:rsidP="000A0E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Ürün, polimer boncukları sayesinde herhangi bir negatif engelle karşılaşmadan kanla direkt olarak temas edebilmeli.</w:t>
            </w:r>
          </w:p>
          <w:p w:rsidR="00D2139D" w:rsidRPr="00EE1A5B" w:rsidRDefault="00D2139D" w:rsidP="000A0E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1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Ürün</w:t>
            </w:r>
            <w:r w:rsidR="009621EE" w:rsidRPr="00EE1A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 orta ve büyük moleküler ağırlıklı toksinler ile proteine bağlanmış toksinleri</w:t>
            </w:r>
            <w:r w:rsidR="009621EE"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, ayrıca </w:t>
            </w: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süreğen hemodiyaliz tedavisindeki hastaların kanlarında biriken ve klasik hemodiyaliz</w:t>
            </w:r>
            <w:r w:rsidR="009621EE"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 yöntemleriyle uzaklaştırılamayan </w:t>
            </w: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toksinleri </w:t>
            </w:r>
            <w:proofErr w:type="spellStart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adsorbe</w:t>
            </w:r>
            <w:proofErr w:type="spellEnd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 edebilmelidir.</w:t>
            </w:r>
          </w:p>
          <w:p w:rsidR="008C51C1" w:rsidRDefault="0053494F" w:rsidP="008C51C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621EE"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kan şekilli elemanları üzerine olumsuz etki </w:t>
            </w:r>
            <w:r w:rsidR="009621EE"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göstermemeli; hastaların yaşam kalitesini </w:t>
            </w: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ve yaşam süresini arttırabilmelidir.</w:t>
            </w:r>
          </w:p>
          <w:p w:rsidR="008C51C1" w:rsidRPr="00EE1A5B" w:rsidRDefault="008C51C1" w:rsidP="008C51C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Ürün, günümüz hemodiyaliz teknolojisi ile yeterli düzeyde uzaklaştırılamayan</w:t>
            </w:r>
            <w:r w:rsidRPr="00EE1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1A5B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PTH, beta-2 </w:t>
            </w:r>
            <w:proofErr w:type="spellStart"/>
            <w:r w:rsidRPr="00EE1A5B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mikroglobulin</w:t>
            </w:r>
            <w:proofErr w:type="spellEnd"/>
            <w:r w:rsidRPr="00EE1A5B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EE1A5B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leptin</w:t>
            </w:r>
            <w:proofErr w:type="spellEnd"/>
            <w:r w:rsidRPr="00EE1A5B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EE1A5B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oksidatif</w:t>
            </w:r>
            <w:proofErr w:type="spellEnd"/>
            <w:r w:rsidRPr="00EE1A5B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E1A5B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lipoproteinler</w:t>
            </w:r>
            <w:proofErr w:type="spellEnd"/>
            <w:r w:rsidRPr="00EE1A5B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, ileri derecede şekerleşmiş son ürünler (AGE), </w:t>
            </w:r>
            <w:proofErr w:type="spellStart"/>
            <w:r w:rsidRPr="00EE1A5B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homosistein</w:t>
            </w:r>
            <w:proofErr w:type="spellEnd"/>
            <w:r w:rsidRPr="00EE1A5B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, interlökin-1 (IL-1), IL-6, TNF-alfa</w:t>
            </w:r>
            <w:r w:rsidRPr="00EE1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ve benzeri toksinleri </w:t>
            </w:r>
            <w:proofErr w:type="spellStart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adsorbe</w:t>
            </w:r>
            <w:proofErr w:type="spellEnd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 edebilmelidir.</w:t>
            </w:r>
          </w:p>
          <w:p w:rsidR="00EE1A5B" w:rsidRPr="00EE1A5B" w:rsidRDefault="008C51C1" w:rsidP="00EE1A5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6984978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Ürün, çeşitli nedenlerle (enfeksiyon veya enfeksiyon dışı) ortaya çıkan </w:t>
            </w:r>
            <w:proofErr w:type="spellStart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pro-inflamatuar</w:t>
            </w:r>
            <w:proofErr w:type="spellEnd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sitokinleri</w:t>
            </w:r>
            <w:proofErr w:type="spellEnd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 (IL-1, IL-6, MCP-1 ve TNF-alfa) </w:t>
            </w:r>
            <w:proofErr w:type="spellStart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adsorbe</w:t>
            </w:r>
            <w:proofErr w:type="spellEnd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 etme yeteneğine sahip olmalıdır. Bu özellik sayesinde ürün; mantar zehirlenmeleri, ilaç zehirlenmeleri, </w:t>
            </w:r>
            <w:proofErr w:type="spellStart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organofosfat</w:t>
            </w:r>
            <w:proofErr w:type="spellEnd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 zehirlenmeleri, ciddi yanıklar ve bölgesel kemoterapi uygulamalarında </w:t>
            </w:r>
            <w:proofErr w:type="spellStart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>endike</w:t>
            </w:r>
            <w:proofErr w:type="spellEnd"/>
            <w:r w:rsidRPr="00EE1A5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bookmarkEnd w:id="1"/>
          </w:p>
        </w:tc>
      </w:tr>
      <w:tr w:rsidR="00927B9C" w:rsidRPr="00EE1A5B" w:rsidTr="004643A6">
        <w:trPr>
          <w:trHeight w:val="4385"/>
        </w:trPr>
        <w:tc>
          <w:tcPr>
            <w:tcW w:w="1700" w:type="dxa"/>
          </w:tcPr>
          <w:p w:rsidR="00927B9C" w:rsidRPr="00EE1A5B" w:rsidRDefault="00927B9C" w:rsidP="000A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A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209" w:type="dxa"/>
          </w:tcPr>
          <w:p w:rsidR="00CD0208" w:rsidRPr="00222111" w:rsidRDefault="00CD0208" w:rsidP="00887CD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2111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Tedarikçi</w:t>
            </w:r>
            <w:r w:rsidRPr="00222111">
              <w:rPr>
                <w:rFonts w:ascii="Times New Roman" w:hAnsi="Times New Roman" w:cs="Times New Roman"/>
                <w:sz w:val="24"/>
                <w:szCs w:val="24"/>
              </w:rPr>
              <w:t xml:space="preserve">, istendiğinde ürünün </w:t>
            </w:r>
            <w:proofErr w:type="spellStart"/>
            <w:r w:rsidRPr="00222111">
              <w:rPr>
                <w:rFonts w:ascii="Times New Roman" w:hAnsi="Times New Roman" w:cs="Times New Roman"/>
                <w:sz w:val="24"/>
                <w:szCs w:val="24"/>
              </w:rPr>
              <w:t>adsorpsiyon</w:t>
            </w:r>
            <w:proofErr w:type="spellEnd"/>
            <w:r w:rsidRPr="00222111">
              <w:rPr>
                <w:rFonts w:ascii="Times New Roman" w:hAnsi="Times New Roman" w:cs="Times New Roman"/>
                <w:sz w:val="24"/>
                <w:szCs w:val="24"/>
              </w:rPr>
              <w:t xml:space="preserve"> yeteneği ile ilgili bilimsel veri ve dokümantasyonu sunabilmelidir.</w:t>
            </w:r>
            <w:r w:rsidR="00D2139D" w:rsidRPr="00222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111" w:rsidRPr="00222111" w:rsidRDefault="00D2139D" w:rsidP="0022211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2111">
              <w:rPr>
                <w:rFonts w:ascii="Times New Roman" w:hAnsi="Times New Roman" w:cs="Times New Roman"/>
                <w:sz w:val="24"/>
                <w:szCs w:val="24"/>
              </w:rPr>
              <w:t xml:space="preserve">Ürün, ek bir cihaza gereksinim olmaksızın mevcut hemodiyaliz cihazlarında </w:t>
            </w:r>
            <w:proofErr w:type="spellStart"/>
            <w:r w:rsidRPr="00222111">
              <w:rPr>
                <w:rFonts w:ascii="Times New Roman" w:hAnsi="Times New Roman" w:cs="Times New Roman"/>
                <w:sz w:val="24"/>
                <w:szCs w:val="24"/>
              </w:rPr>
              <w:t>hemodiyalizör</w:t>
            </w:r>
            <w:proofErr w:type="spellEnd"/>
            <w:r w:rsidRPr="00222111">
              <w:rPr>
                <w:rFonts w:ascii="Times New Roman" w:hAnsi="Times New Roman" w:cs="Times New Roman"/>
                <w:sz w:val="24"/>
                <w:szCs w:val="24"/>
              </w:rPr>
              <w:t xml:space="preserve"> ile birlikte aynı anda veya </w:t>
            </w:r>
            <w:proofErr w:type="spellStart"/>
            <w:r w:rsidRPr="00222111">
              <w:rPr>
                <w:rFonts w:ascii="Times New Roman" w:hAnsi="Times New Roman" w:cs="Times New Roman"/>
                <w:sz w:val="24"/>
                <w:szCs w:val="24"/>
              </w:rPr>
              <w:t>hemodiyalizörden</w:t>
            </w:r>
            <w:proofErr w:type="spellEnd"/>
            <w:r w:rsidRPr="00222111">
              <w:rPr>
                <w:rFonts w:ascii="Times New Roman" w:hAnsi="Times New Roman" w:cs="Times New Roman"/>
                <w:sz w:val="24"/>
                <w:szCs w:val="24"/>
              </w:rPr>
              <w:t xml:space="preserve"> bağımsız olarak kullanılabilmeli</w:t>
            </w:r>
            <w:r w:rsidR="00CD0208" w:rsidRPr="00222111">
              <w:rPr>
                <w:rFonts w:ascii="Times New Roman" w:hAnsi="Times New Roman" w:cs="Times New Roman"/>
                <w:sz w:val="24"/>
                <w:szCs w:val="24"/>
              </w:rPr>
              <w:t>dir. Ayrıca ürün, h</w:t>
            </w:r>
            <w:r w:rsidRPr="00222111">
              <w:rPr>
                <w:rFonts w:ascii="Times New Roman" w:hAnsi="Times New Roman" w:cs="Times New Roman"/>
                <w:sz w:val="24"/>
                <w:szCs w:val="24"/>
              </w:rPr>
              <w:t>er tür kan temizleme makin</w:t>
            </w:r>
            <w:r w:rsidR="00CD0208" w:rsidRPr="00222111">
              <w:rPr>
                <w:rFonts w:ascii="Times New Roman" w:hAnsi="Times New Roman" w:cs="Times New Roman"/>
                <w:sz w:val="24"/>
                <w:szCs w:val="24"/>
              </w:rPr>
              <w:t xml:space="preserve">esi ile </w:t>
            </w:r>
            <w:r w:rsidRPr="00222111">
              <w:rPr>
                <w:rFonts w:ascii="Times New Roman" w:hAnsi="Times New Roman" w:cs="Times New Roman"/>
                <w:sz w:val="24"/>
                <w:szCs w:val="24"/>
              </w:rPr>
              <w:t xml:space="preserve">tüm kan veya </w:t>
            </w:r>
            <w:proofErr w:type="spellStart"/>
            <w:r w:rsidRPr="00222111">
              <w:rPr>
                <w:rFonts w:ascii="Times New Roman" w:hAnsi="Times New Roman" w:cs="Times New Roman"/>
                <w:sz w:val="24"/>
                <w:szCs w:val="24"/>
              </w:rPr>
              <w:t>hemoperfüzyon</w:t>
            </w:r>
            <w:proofErr w:type="spellEnd"/>
            <w:r w:rsidRPr="00222111">
              <w:rPr>
                <w:rFonts w:ascii="Times New Roman" w:hAnsi="Times New Roman" w:cs="Times New Roman"/>
                <w:sz w:val="24"/>
                <w:szCs w:val="24"/>
              </w:rPr>
              <w:t xml:space="preserve"> tedavisi için planlanmış diğer kan temizleme aygıtlarıyla birlikte veya ayrı ayrı kullanı</w:t>
            </w:r>
            <w:r w:rsidR="00CD0208" w:rsidRPr="00222111">
              <w:rPr>
                <w:rFonts w:ascii="Times New Roman" w:hAnsi="Times New Roman" w:cs="Times New Roman"/>
                <w:sz w:val="24"/>
                <w:szCs w:val="24"/>
              </w:rPr>
              <w:t>labilmelidir.</w:t>
            </w:r>
          </w:p>
          <w:p w:rsidR="00C719DD" w:rsidRPr="00C719DD" w:rsidRDefault="00222111" w:rsidP="00C719D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21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ambalajı, </w:t>
            </w:r>
            <w:proofErr w:type="spellStart"/>
            <w:r w:rsidRPr="002221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sterilitesini</w:t>
            </w:r>
            <w:proofErr w:type="spellEnd"/>
            <w:r w:rsidRPr="002221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koruyacak şekilde tasarlanmalı; taşıma ve depolama sırasında ürünün bütünlüğünü ve </w:t>
            </w:r>
            <w:proofErr w:type="spellStart"/>
            <w:r w:rsidRPr="002221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sterilitesini</w:t>
            </w:r>
            <w:proofErr w:type="spellEnd"/>
            <w:r w:rsidRPr="002221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koruyacak dayanıklılıkta olmalıdır.</w:t>
            </w:r>
          </w:p>
          <w:p w:rsidR="00C719DD" w:rsidRPr="00C719DD" w:rsidRDefault="00C719DD" w:rsidP="00C719D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9DD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Ürün, buhar veya gama ile steril edilmiş olmalıdır. Ürün ambalajı, </w:t>
            </w:r>
            <w:proofErr w:type="spellStart"/>
            <w:r w:rsidRPr="00C719DD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sterilitesini</w:t>
            </w:r>
            <w:proofErr w:type="spellEnd"/>
            <w:r w:rsidRPr="00C719DD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koruyacak şekilde tasarlanmalı; taşıma ve depolama sırasında ürünün bütünlüğünü ve </w:t>
            </w:r>
            <w:proofErr w:type="spellStart"/>
            <w:r w:rsidRPr="00C719DD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sterilitesini</w:t>
            </w:r>
            <w:proofErr w:type="spellEnd"/>
            <w:r w:rsidRPr="00C719DD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koruyacak dayanıklılıkta olmalıdır. Ambalaj üzerinde ürün adı, üretim tarihi, lot numarası, son kullanım tarihi ve sterilizasyon yöntemi açıkça belirtilmiş olmalıdır.</w:t>
            </w:r>
          </w:p>
          <w:p w:rsidR="00222111" w:rsidRPr="00222111" w:rsidRDefault="00222111" w:rsidP="0022211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21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r w:rsidRPr="002221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tek kullanımlık</w:t>
            </w:r>
            <w:r w:rsidRPr="002221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olmalı, yeniden sterilize edilerek kullanılmamalıdır.</w:t>
            </w:r>
          </w:p>
          <w:p w:rsidR="009A7287" w:rsidRPr="00222111" w:rsidRDefault="009621EE" w:rsidP="000A0ED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2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Ambalaj üzerinde </w:t>
            </w:r>
            <w:r w:rsidR="000A0ED0" w:rsidRPr="00222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sterilizasyon yöntemi ve son kullanım </w:t>
            </w:r>
            <w:r w:rsidRPr="00222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tarihi açıkça belirtilmiş</w:t>
            </w:r>
            <w:r w:rsidR="000A0ED0" w:rsidRPr="00222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</w:tc>
      </w:tr>
      <w:bookmarkEnd w:id="0"/>
    </w:tbl>
    <w:p w:rsidR="00927B9C" w:rsidRPr="000A0ED0" w:rsidRDefault="00927B9C" w:rsidP="000A0ED0">
      <w:pPr>
        <w:rPr>
          <w:rFonts w:ascii="Times New Roman" w:hAnsi="Times New Roman" w:cs="Times New Roman"/>
          <w:sz w:val="24"/>
          <w:szCs w:val="24"/>
        </w:rPr>
      </w:pPr>
    </w:p>
    <w:sectPr w:rsidR="00927B9C" w:rsidRPr="000A0E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1BF" w:rsidRDefault="003751BF" w:rsidP="0053494F">
      <w:pPr>
        <w:spacing w:before="0" w:after="0" w:line="240" w:lineRule="auto"/>
      </w:pPr>
      <w:r>
        <w:separator/>
      </w:r>
    </w:p>
  </w:endnote>
  <w:endnote w:type="continuationSeparator" w:id="0">
    <w:p w:rsidR="003751BF" w:rsidRDefault="003751BF" w:rsidP="005349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2762434"/>
      <w:docPartObj>
        <w:docPartGallery w:val="Page Numbers (Bottom of Page)"/>
        <w:docPartUnique/>
      </w:docPartObj>
    </w:sdtPr>
    <w:sdtEndPr/>
    <w:sdtContent>
      <w:p w:rsidR="0053494F" w:rsidRDefault="0053494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229">
          <w:rPr>
            <w:noProof/>
          </w:rPr>
          <w:t>1</w:t>
        </w:r>
        <w:r>
          <w:fldChar w:fldCharType="end"/>
        </w:r>
      </w:p>
    </w:sdtContent>
  </w:sdt>
  <w:p w:rsidR="0053494F" w:rsidRDefault="005349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1BF" w:rsidRDefault="003751BF" w:rsidP="0053494F">
      <w:pPr>
        <w:spacing w:before="0" w:after="0" w:line="240" w:lineRule="auto"/>
      </w:pPr>
      <w:r>
        <w:separator/>
      </w:r>
    </w:p>
  </w:footnote>
  <w:footnote w:type="continuationSeparator" w:id="0">
    <w:p w:rsidR="003751BF" w:rsidRDefault="003751BF" w:rsidP="0053494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66E5F"/>
    <w:multiLevelType w:val="hybridMultilevel"/>
    <w:tmpl w:val="0368FF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D7FFA"/>
    <w:multiLevelType w:val="hybridMultilevel"/>
    <w:tmpl w:val="2A86DF3E"/>
    <w:lvl w:ilvl="0" w:tplc="0A62C7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453EE"/>
    <w:rsid w:val="000707CE"/>
    <w:rsid w:val="000758C3"/>
    <w:rsid w:val="000A0ED0"/>
    <w:rsid w:val="000A36E0"/>
    <w:rsid w:val="001307F7"/>
    <w:rsid w:val="001329AB"/>
    <w:rsid w:val="001745AB"/>
    <w:rsid w:val="00222111"/>
    <w:rsid w:val="00314576"/>
    <w:rsid w:val="00331850"/>
    <w:rsid w:val="00371658"/>
    <w:rsid w:val="003751BF"/>
    <w:rsid w:val="003E5A7A"/>
    <w:rsid w:val="00460ABF"/>
    <w:rsid w:val="004643A6"/>
    <w:rsid w:val="004D10AE"/>
    <w:rsid w:val="004E6AC4"/>
    <w:rsid w:val="005145CE"/>
    <w:rsid w:val="0053494F"/>
    <w:rsid w:val="00564871"/>
    <w:rsid w:val="005A257E"/>
    <w:rsid w:val="005A2CAA"/>
    <w:rsid w:val="005B2A94"/>
    <w:rsid w:val="006113D1"/>
    <w:rsid w:val="006A45CA"/>
    <w:rsid w:val="007745B2"/>
    <w:rsid w:val="007A2D72"/>
    <w:rsid w:val="007C2FFA"/>
    <w:rsid w:val="007D1FF3"/>
    <w:rsid w:val="00800A43"/>
    <w:rsid w:val="00844949"/>
    <w:rsid w:val="00852688"/>
    <w:rsid w:val="008C51C1"/>
    <w:rsid w:val="008F54D8"/>
    <w:rsid w:val="00927B9C"/>
    <w:rsid w:val="009621EE"/>
    <w:rsid w:val="009A5587"/>
    <w:rsid w:val="009A7287"/>
    <w:rsid w:val="00A93918"/>
    <w:rsid w:val="00B56E10"/>
    <w:rsid w:val="00B6578D"/>
    <w:rsid w:val="00BC1949"/>
    <w:rsid w:val="00C244D0"/>
    <w:rsid w:val="00C35B46"/>
    <w:rsid w:val="00C56846"/>
    <w:rsid w:val="00C61AAC"/>
    <w:rsid w:val="00C719DD"/>
    <w:rsid w:val="00CA7B2D"/>
    <w:rsid w:val="00CD0208"/>
    <w:rsid w:val="00D2139D"/>
    <w:rsid w:val="00D36229"/>
    <w:rsid w:val="00E543DC"/>
    <w:rsid w:val="00E86173"/>
    <w:rsid w:val="00EA7840"/>
    <w:rsid w:val="00EB0ED7"/>
    <w:rsid w:val="00EE1A5B"/>
    <w:rsid w:val="00EE37C5"/>
    <w:rsid w:val="00F152BA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3494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94F"/>
  </w:style>
  <w:style w:type="paragraph" w:styleId="AltBilgi">
    <w:name w:val="footer"/>
    <w:basedOn w:val="Normal"/>
    <w:link w:val="AltBilgiChar"/>
    <w:uiPriority w:val="99"/>
    <w:unhideWhenUsed/>
    <w:rsid w:val="0053494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94F"/>
  </w:style>
  <w:style w:type="paragraph" w:styleId="NormalWeb">
    <w:name w:val="Normal (Web)"/>
    <w:basedOn w:val="Normal"/>
    <w:uiPriority w:val="99"/>
    <w:semiHidden/>
    <w:unhideWhenUsed/>
    <w:rsid w:val="00800A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64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2026-04-17T07:30:00Z</dcterms:created>
  <dcterms:modified xsi:type="dcterms:W3CDTF">2026-04-17T07:30:00Z</dcterms:modified>
</cp:coreProperties>
</file>