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FF0EEC" w:rsidRDefault="00AB543F" w:rsidP="00FF0EEC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F0EE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SMT1630-</w:t>
      </w:r>
      <w:r w:rsidR="00FF0EEC" w:rsidRPr="00FF0EEC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 xml:space="preserve"> ADSORBSİYON KOLONU, SEPSİS, SİTOKİN</w:t>
      </w:r>
      <w:r w:rsidRPr="00FF0E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loKlavuzu"/>
        <w:tblW w:w="9909" w:type="dxa"/>
        <w:tblLook w:val="04A0" w:firstRow="1" w:lastRow="0" w:firstColumn="1" w:lastColumn="0" w:noHBand="0" w:noVBand="1"/>
      </w:tblPr>
      <w:tblGrid>
        <w:gridCol w:w="1700"/>
        <w:gridCol w:w="8209"/>
      </w:tblGrid>
      <w:tr w:rsidR="00927B9C" w:rsidRPr="009A7287" w:rsidTr="006833A8">
        <w:trPr>
          <w:trHeight w:val="2587"/>
        </w:trPr>
        <w:tc>
          <w:tcPr>
            <w:tcW w:w="1700" w:type="dxa"/>
          </w:tcPr>
          <w:p w:rsidR="00927B9C" w:rsidRPr="009A7287" w:rsidRDefault="00927B9C" w:rsidP="00FF0EE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8209" w:type="dxa"/>
          </w:tcPr>
          <w:p w:rsidR="006833A8" w:rsidRPr="00FF0EEC" w:rsidRDefault="00640F83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ciddi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septik ş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ok (SIRS &amp; CARS), ciddi yanıklar, travma, solunumla kimyasal zehirlenmeler, akut solunum sıkıntısı sendromu (ARDS), ameliyat sonrası pompa sendromu, akut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pankreatit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septik durumlarda, ç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oklu organ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disfonksiyon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sendromu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(MODS)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Yetmezlik Desteği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noktalarında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endike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9A7287" w:rsidTr="006833A8">
        <w:trPr>
          <w:trHeight w:val="1408"/>
        </w:trPr>
        <w:tc>
          <w:tcPr>
            <w:tcW w:w="1700" w:type="dxa"/>
          </w:tcPr>
          <w:p w:rsidR="00927B9C" w:rsidRPr="009A7287" w:rsidRDefault="00927B9C" w:rsidP="00FF0EE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8209" w:type="dxa"/>
          </w:tcPr>
          <w:p w:rsidR="00A36ABD" w:rsidRPr="00A41252" w:rsidRDefault="00A36ABD" w:rsidP="00A36AB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sitokinleri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/veya </w:t>
            </w:r>
            <w:proofErr w:type="spellStart"/>
            <w:r w:rsidRPr="000C6F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endotoksin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gibi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mediatörleri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tutacak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adsorbanlardan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oluşmalıdır ve bu gözeneklere sahip parçacı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kları bir arada tutan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dış gövdeye sahip olmalıdır. </w:t>
            </w:r>
          </w:p>
          <w:p w:rsidR="00A36ABD" w:rsidRDefault="00A36ABD" w:rsidP="00A36AB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adsorban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yapısı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sitokinleri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endotoksinleri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tutabilecek seviyede etkili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 yapıya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:rsidR="00E61FE3" w:rsidRPr="006833A8" w:rsidRDefault="00A36ABD" w:rsidP="00A36AB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B64">
              <w:rPr>
                <w:rFonts w:ascii="Times New Roman" w:hAnsi="Times New Roman" w:cs="Times New Roman"/>
                <w:sz w:val="24"/>
                <w:szCs w:val="24"/>
              </w:rPr>
              <w:t>Ürün hastaya zarar verecek basınç seviyesini engellemeli, hasta kan akımlarından dolayı zarar görmemelidir.</w:t>
            </w:r>
          </w:p>
        </w:tc>
      </w:tr>
      <w:tr w:rsidR="00927B9C" w:rsidRPr="009A7287" w:rsidTr="009A7287">
        <w:trPr>
          <w:trHeight w:val="2194"/>
        </w:trPr>
        <w:tc>
          <w:tcPr>
            <w:tcW w:w="1700" w:type="dxa"/>
          </w:tcPr>
          <w:p w:rsidR="00927B9C" w:rsidRPr="009A7287" w:rsidRDefault="00927B9C" w:rsidP="00FF0EE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8209" w:type="dxa"/>
          </w:tcPr>
          <w:p w:rsidR="006833A8" w:rsidRPr="00A41252" w:rsidRDefault="006833A8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Sepsis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sitokin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adsorbsiyon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tüp set ile uyumlu olmalıdır. </w:t>
            </w:r>
          </w:p>
          <w:p w:rsidR="006833A8" w:rsidRPr="00A41252" w:rsidRDefault="006833A8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astada işlenen kan ve plazma hacimleri anlık olarak izlenebilmelidir. </w:t>
            </w:r>
          </w:p>
          <w:p w:rsidR="006833A8" w:rsidRPr="00A41252" w:rsidRDefault="006833A8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Ürünün C-Reakti</w:t>
            </w:r>
            <w:r w:rsidR="00E61FE3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gramStart"/>
            <w:r w:rsidR="00E61FE3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="00E61FE3">
              <w:rPr>
                <w:rFonts w:ascii="Times New Roman" w:hAnsi="Times New Roman" w:cs="Times New Roman"/>
                <w:sz w:val="24"/>
                <w:szCs w:val="24"/>
              </w:rPr>
              <w:t xml:space="preserve">CRP), IL-6, TNF-α </w:t>
            </w:r>
            <w:proofErr w:type="spellStart"/>
            <w:r w:rsidR="00E61FE3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aşırı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inflamatuar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mediatörleri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etkili bir şekilde temizlemelidir. </w:t>
            </w:r>
          </w:p>
          <w:p w:rsidR="006833A8" w:rsidRPr="00A41252" w:rsidRDefault="00E61FE3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833A8">
              <w:rPr>
                <w:rFonts w:ascii="Times New Roman" w:hAnsi="Times New Roman" w:cs="Times New Roman"/>
                <w:sz w:val="24"/>
                <w:szCs w:val="24"/>
              </w:rPr>
              <w:t xml:space="preserve">astanın </w:t>
            </w:r>
            <w:proofErr w:type="spellStart"/>
            <w:r w:rsidR="006833A8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="006833A8">
              <w:rPr>
                <w:rFonts w:ascii="Times New Roman" w:hAnsi="Times New Roman" w:cs="Times New Roman"/>
                <w:sz w:val="24"/>
                <w:szCs w:val="24"/>
              </w:rPr>
              <w:t xml:space="preserve"> yapısı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nı bozmayacak şekilde Kan çekiş hızına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ekstrakorpereal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hacme sahip olmalıdır.</w:t>
            </w:r>
          </w:p>
          <w:p w:rsidR="006833A8" w:rsidRPr="00A41252" w:rsidRDefault="006833A8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Ürün gövdesi işlem sırasında basınca dayanıklı olmalıdır.</w:t>
            </w:r>
          </w:p>
          <w:p w:rsidR="006833A8" w:rsidRDefault="006833A8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sitokinleri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DD5DD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endotoksinleri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edebilmelidir.</w:t>
            </w:r>
          </w:p>
          <w:p w:rsidR="00FF0EEC" w:rsidRPr="00A41252" w:rsidRDefault="00FF0EEC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Ürünün kullanım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endikasyonu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enfeksiyon orijinine (gram-negatif ya da gram-pozitif) bağlı olmamalıdır.</w:t>
            </w:r>
          </w:p>
          <w:p w:rsidR="006833A8" w:rsidRPr="00A41252" w:rsidRDefault="006833A8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Ürün tam kanla veya tam kandan ayrılmış hastanın kendi plazması ile çalışabilmelidir. Tam kan ile çalışan sistemlerde Ürünü kullanmak için kanın ön bir işlemden geçmesine (plazmasının ayrılması </w:t>
            </w:r>
            <w:proofErr w:type="gram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vb. )</w:t>
            </w:r>
            <w:proofErr w:type="gram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gerek kalmamalıdır. </w:t>
            </w:r>
          </w:p>
          <w:p w:rsidR="007745B2" w:rsidRPr="00FF0EEC" w:rsidRDefault="006833A8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Ürünle gerçekleştirilecek işlemler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otolog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olmalıdır. İşlem sırasında herhangi bir kan veya kan türevi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replasmanına</w:t>
            </w:r>
            <w:proofErr w:type="spellEnd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gerek kalmamalıdır. Böylelikle ürün ile gerçekleştirilen işlemlerde kan kayna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klı bulaş riski olmamalıdır.</w:t>
            </w:r>
            <w:r w:rsidR="008A33B8">
              <w:rPr>
                <w:lang w:eastAsia="tr-TR"/>
              </w:rPr>
              <w:tab/>
            </w:r>
          </w:p>
        </w:tc>
      </w:tr>
      <w:tr w:rsidR="00927B9C" w:rsidRPr="009A7287" w:rsidTr="009A7287">
        <w:trPr>
          <w:trHeight w:val="1285"/>
        </w:trPr>
        <w:tc>
          <w:tcPr>
            <w:tcW w:w="1700" w:type="dxa"/>
          </w:tcPr>
          <w:p w:rsidR="00927B9C" w:rsidRPr="009A7287" w:rsidRDefault="00927B9C" w:rsidP="00FF0EE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209" w:type="dxa"/>
          </w:tcPr>
          <w:p w:rsidR="00FF4EC3" w:rsidRPr="00A676A4" w:rsidRDefault="0054416A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Kolon </w:t>
            </w:r>
            <w:r w:rsidR="00FF4EC3" w:rsidRPr="00A676A4">
              <w:rPr>
                <w:rFonts w:ascii="Times New Roman" w:hAnsi="Times New Roman" w:cs="Times New Roman"/>
                <w:sz w:val="24"/>
                <w:szCs w:val="24"/>
              </w:rPr>
              <w:t>steril 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ekli paketler halinde olmalıdır ve setiyle birlikte hastane kullanımına sunulmalıdır.</w:t>
            </w:r>
          </w:p>
          <w:p w:rsidR="00FF4EC3" w:rsidRPr="00FF4EC3" w:rsidRDefault="00FF4EC3" w:rsidP="00FF0EE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6A4">
              <w:rPr>
                <w:rFonts w:ascii="Times New Roman" w:hAnsi="Times New Roman" w:cs="Times New Roman"/>
                <w:sz w:val="24"/>
                <w:szCs w:val="24"/>
              </w:rPr>
              <w:t>Adsorbsiyon</w:t>
            </w:r>
            <w:proofErr w:type="spellEnd"/>
            <w:r w:rsidRPr="00A676A4">
              <w:rPr>
                <w:rFonts w:ascii="Times New Roman" w:hAnsi="Times New Roman" w:cs="Times New Roman"/>
                <w:sz w:val="24"/>
                <w:szCs w:val="24"/>
              </w:rPr>
              <w:t xml:space="preserve"> kolonları ile birlikte setler hastane kullanımına verilmelidir.</w:t>
            </w:r>
          </w:p>
          <w:p w:rsidR="00FF4EC3" w:rsidRPr="00FF4EC3" w:rsidRDefault="00A36ABD" w:rsidP="00FF0EEC">
            <w:pPr>
              <w:widowControl w:val="0"/>
              <w:numPr>
                <w:ilvl w:val="0"/>
                <w:numId w:val="4"/>
              </w:numPr>
              <w:tabs>
                <w:tab w:val="left" w:pos="66"/>
              </w:tabs>
              <w:spacing w:before="120" w:after="120" w:line="36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Ürün hemodiyaliz, </w:t>
            </w:r>
            <w:proofErr w:type="spellStart"/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hemoperfüzyon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>CRRT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ECMO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cihazları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bu cihazların setleri</w:t>
            </w:r>
            <w:r w:rsidRPr="00A41252">
              <w:rPr>
                <w:rFonts w:ascii="Times New Roman" w:hAnsi="Times New Roman" w:cs="Times New Roman"/>
                <w:sz w:val="24"/>
                <w:szCs w:val="24"/>
              </w:rPr>
              <w:t xml:space="preserve"> ile uyumlu olmalı veya kullanım için ürüne özel cihaz 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rma tarafından sağlanmalıdır.</w:t>
            </w:r>
          </w:p>
        </w:tc>
      </w:tr>
    </w:tbl>
    <w:p w:rsidR="00927B9C" w:rsidRPr="009A7287" w:rsidRDefault="00927B9C" w:rsidP="00FF0EE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927B9C" w:rsidRPr="009A7287" w:rsidSect="00315F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55A" w:rsidRDefault="0036755A" w:rsidP="006833A8">
      <w:pPr>
        <w:spacing w:after="0" w:line="240" w:lineRule="auto"/>
      </w:pPr>
      <w:r>
        <w:separator/>
      </w:r>
    </w:p>
  </w:endnote>
  <w:endnote w:type="continuationSeparator" w:id="0">
    <w:p w:rsidR="0036755A" w:rsidRDefault="0036755A" w:rsidP="0068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290958"/>
      <w:docPartObj>
        <w:docPartGallery w:val="Page Numbers (Bottom of Page)"/>
        <w:docPartUnique/>
      </w:docPartObj>
    </w:sdtPr>
    <w:sdtEndPr/>
    <w:sdtContent>
      <w:p w:rsidR="006833A8" w:rsidRDefault="00315F58">
        <w:pPr>
          <w:pStyle w:val="AltBilgi"/>
          <w:jc w:val="center"/>
        </w:pPr>
        <w:r>
          <w:fldChar w:fldCharType="begin"/>
        </w:r>
        <w:r w:rsidR="006833A8">
          <w:instrText>PAGE   \* MERGEFORMAT</w:instrText>
        </w:r>
        <w:r>
          <w:fldChar w:fldCharType="separate"/>
        </w:r>
        <w:r w:rsidR="00A36ABD">
          <w:rPr>
            <w:noProof/>
          </w:rPr>
          <w:t>1</w:t>
        </w:r>
        <w:r>
          <w:fldChar w:fldCharType="end"/>
        </w:r>
      </w:p>
    </w:sdtContent>
  </w:sdt>
  <w:p w:rsidR="006833A8" w:rsidRDefault="006833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55A" w:rsidRDefault="0036755A" w:rsidP="006833A8">
      <w:pPr>
        <w:spacing w:after="0" w:line="240" w:lineRule="auto"/>
      </w:pPr>
      <w:r>
        <w:separator/>
      </w:r>
    </w:p>
  </w:footnote>
  <w:footnote w:type="continuationSeparator" w:id="0">
    <w:p w:rsidR="0036755A" w:rsidRDefault="0036755A" w:rsidP="00683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A7629"/>
    <w:multiLevelType w:val="hybridMultilevel"/>
    <w:tmpl w:val="4DFACC40"/>
    <w:lvl w:ilvl="0" w:tplc="69AC6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FFA"/>
    <w:multiLevelType w:val="hybridMultilevel"/>
    <w:tmpl w:val="A60CC3C4"/>
    <w:lvl w:ilvl="0" w:tplc="DDE2D766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E71861"/>
    <w:multiLevelType w:val="hybridMultilevel"/>
    <w:tmpl w:val="A29CEC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F3"/>
    <w:rsid w:val="00064833"/>
    <w:rsid w:val="000758C3"/>
    <w:rsid w:val="001307F7"/>
    <w:rsid w:val="001329AB"/>
    <w:rsid w:val="00315F58"/>
    <w:rsid w:val="00331850"/>
    <w:rsid w:val="0036755A"/>
    <w:rsid w:val="00460ABF"/>
    <w:rsid w:val="004630CF"/>
    <w:rsid w:val="004C6D2F"/>
    <w:rsid w:val="0054416A"/>
    <w:rsid w:val="005D1EFF"/>
    <w:rsid w:val="00640F83"/>
    <w:rsid w:val="00646EB1"/>
    <w:rsid w:val="006833A8"/>
    <w:rsid w:val="007745B2"/>
    <w:rsid w:val="007D1FF3"/>
    <w:rsid w:val="008A33B8"/>
    <w:rsid w:val="008F54D8"/>
    <w:rsid w:val="0092593E"/>
    <w:rsid w:val="00927B9C"/>
    <w:rsid w:val="009A5587"/>
    <w:rsid w:val="009A7287"/>
    <w:rsid w:val="00A36ABD"/>
    <w:rsid w:val="00AB543F"/>
    <w:rsid w:val="00C35B46"/>
    <w:rsid w:val="00C56846"/>
    <w:rsid w:val="00C96915"/>
    <w:rsid w:val="00CA7B2D"/>
    <w:rsid w:val="00CE0BDE"/>
    <w:rsid w:val="00DD5DD8"/>
    <w:rsid w:val="00E249E0"/>
    <w:rsid w:val="00E543DC"/>
    <w:rsid w:val="00E6191D"/>
    <w:rsid w:val="00E61FE3"/>
    <w:rsid w:val="00E86173"/>
    <w:rsid w:val="00EA7840"/>
    <w:rsid w:val="00EB0ED7"/>
    <w:rsid w:val="00FF0EEC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72CCC-1D3D-451C-849C-0E09DE3F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EC3"/>
  </w:style>
  <w:style w:type="paragraph" w:styleId="Balk1">
    <w:name w:val="heading 1"/>
    <w:basedOn w:val="Normal"/>
    <w:next w:val="Normal"/>
    <w:link w:val="Balk1Char"/>
    <w:uiPriority w:val="9"/>
    <w:qFormat/>
    <w:rsid w:val="00FF4EC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4EC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4EC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4EC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4EC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4EC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4EC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4EC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4EC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83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3A8"/>
  </w:style>
  <w:style w:type="paragraph" w:styleId="AltBilgi">
    <w:name w:val="footer"/>
    <w:basedOn w:val="Normal"/>
    <w:link w:val="AltBilgiChar"/>
    <w:uiPriority w:val="99"/>
    <w:unhideWhenUsed/>
    <w:rsid w:val="00683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3A8"/>
  </w:style>
  <w:style w:type="character" w:customStyle="1" w:styleId="Balk1Char">
    <w:name w:val="Başlık 1 Char"/>
    <w:basedOn w:val="VarsaylanParagrafYazTipi"/>
    <w:link w:val="Balk1"/>
    <w:uiPriority w:val="9"/>
    <w:rsid w:val="00FF4EC3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4EC3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4EC3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4EC3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4EC3"/>
    <w:rPr>
      <w:smallCaps/>
      <w:color w:val="538135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4EC3"/>
    <w:rPr>
      <w:smallCaps/>
      <w:color w:val="70AD47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4EC3"/>
    <w:rPr>
      <w:b/>
      <w:bCs/>
      <w:smallCaps/>
      <w:color w:val="70AD47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4EC3"/>
    <w:rPr>
      <w:b/>
      <w:bCs/>
      <w:i/>
      <w:iCs/>
      <w:smallCaps/>
      <w:color w:val="538135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4EC3"/>
    <w:rPr>
      <w:b/>
      <w:bCs/>
      <w:i/>
      <w:iCs/>
      <w:smallCaps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F4EC3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FF4EC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4EC3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F4EC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FF4EC3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FF4EC3"/>
    <w:rPr>
      <w:b/>
      <w:bCs/>
      <w:color w:val="70AD47" w:themeColor="accent6"/>
    </w:rPr>
  </w:style>
  <w:style w:type="character" w:styleId="Vurgu">
    <w:name w:val="Emphasis"/>
    <w:uiPriority w:val="20"/>
    <w:qFormat/>
    <w:rsid w:val="00FF4EC3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FF4EC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FF4EC3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FF4EC3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4EC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FF4EC3"/>
    <w:rPr>
      <w:b/>
      <w:bCs/>
      <w:i/>
      <w:iCs/>
    </w:rPr>
  </w:style>
  <w:style w:type="character" w:styleId="HafifVurgulama">
    <w:name w:val="Subtle Emphasis"/>
    <w:uiPriority w:val="19"/>
    <w:qFormat/>
    <w:rsid w:val="00FF4EC3"/>
    <w:rPr>
      <w:i/>
      <w:iCs/>
    </w:rPr>
  </w:style>
  <w:style w:type="character" w:styleId="GlVurgulama">
    <w:name w:val="Intense Emphasis"/>
    <w:uiPriority w:val="21"/>
    <w:qFormat/>
    <w:rsid w:val="00FF4EC3"/>
    <w:rPr>
      <w:b/>
      <w:bCs/>
      <w:i/>
      <w:iCs/>
      <w:color w:val="70AD47" w:themeColor="accent6"/>
      <w:spacing w:val="10"/>
    </w:rPr>
  </w:style>
  <w:style w:type="character" w:styleId="HafifBavuru">
    <w:name w:val="Subtle Reference"/>
    <w:uiPriority w:val="31"/>
    <w:qFormat/>
    <w:rsid w:val="00FF4EC3"/>
    <w:rPr>
      <w:b/>
      <w:bCs/>
    </w:rPr>
  </w:style>
  <w:style w:type="character" w:styleId="GlBavuru">
    <w:name w:val="Intense Reference"/>
    <w:uiPriority w:val="32"/>
    <w:qFormat/>
    <w:rsid w:val="00FF4EC3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FF4EC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F4E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Melek PALA ÇAĞLIN</cp:lastModifiedBy>
  <cp:revision>2</cp:revision>
  <dcterms:created xsi:type="dcterms:W3CDTF">2024-06-03T11:07:00Z</dcterms:created>
  <dcterms:modified xsi:type="dcterms:W3CDTF">2024-06-03T11:07:00Z</dcterms:modified>
</cp:coreProperties>
</file>