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A25E2" w14:paraId="20ACD541" w14:textId="77777777" w:rsidTr="006F1EA7">
        <w:trPr>
          <w:trHeight w:val="1134"/>
        </w:trPr>
        <w:tc>
          <w:tcPr>
            <w:tcW w:w="1537" w:type="dxa"/>
          </w:tcPr>
          <w:p w14:paraId="0D15D559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19A66CE9" w14:textId="53A46769" w:rsidR="0038792A" w:rsidRPr="002153FC" w:rsidRDefault="00D4188B" w:rsidP="002153FC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4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35E85">
              <w:rPr>
                <w:rFonts w:ascii="Times New Roman" w:eastAsia="Cambria" w:hAnsi="Times New Roman" w:cs="Times New Roman"/>
                <w:sz w:val="24"/>
                <w:szCs w:val="24"/>
              </w:rPr>
              <w:t>Ürün, b</w:t>
            </w:r>
            <w:r w:rsidRPr="00335E8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ası</w:t>
            </w:r>
            <w:r w:rsidR="00CD48B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nç</w:t>
            </w:r>
            <w:r w:rsidRPr="00335E8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 yarala</w:t>
            </w:r>
            <w:r w:rsidR="00CD48B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nmaları</w:t>
            </w:r>
            <w:r w:rsidRPr="00335E8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, venöz ülserler, diyabetik ülserler, yanıklar, </w:t>
            </w:r>
            <w:proofErr w:type="spellStart"/>
            <w:r w:rsidRPr="00335E8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donör</w:t>
            </w:r>
            <w:proofErr w:type="spellEnd"/>
            <w:r w:rsidRPr="00335E8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 yerleri, genişleyen </w:t>
            </w:r>
            <w:proofErr w:type="spellStart"/>
            <w:r w:rsidR="00CD48B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malign</w:t>
            </w:r>
            <w:proofErr w:type="spellEnd"/>
            <w:r w:rsidRPr="00335E8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 yaralar ve cerrahi yolla açılmış yaralar gibi kronik veya   akut tam kalınlıktaki yaraların, kısmi kalınlıkta veya yüzeysel granüle olan, </w:t>
            </w:r>
            <w:proofErr w:type="spellStart"/>
            <w:r w:rsidRPr="00335E8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eksüdalı</w:t>
            </w:r>
            <w:proofErr w:type="spellEnd"/>
            <w:r w:rsidRPr="00335E8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 yaraların </w:t>
            </w:r>
            <w:proofErr w:type="spellStart"/>
            <w:r w:rsidRPr="00335E8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sekonder</w:t>
            </w:r>
            <w:proofErr w:type="spellEnd"/>
            <w:r w:rsidRPr="00335E8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 tedavisinde kullanılmalıdır.</w:t>
            </w:r>
            <w:r w:rsidRPr="00335E8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Yaradaki </w:t>
            </w:r>
            <w:proofErr w:type="spellStart"/>
            <w:r w:rsidRPr="00335E85">
              <w:rPr>
                <w:rFonts w:ascii="Times New Roman" w:eastAsia="Cambria" w:hAnsi="Times New Roman" w:cs="Times New Roman"/>
                <w:sz w:val="24"/>
                <w:szCs w:val="24"/>
              </w:rPr>
              <w:t>eksuda</w:t>
            </w:r>
            <w:proofErr w:type="spellEnd"/>
            <w:r w:rsidRPr="00335E8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kontrolünü sağlayacak şekilde kullanılmak üzere tasarlanmış olmalıdır</w:t>
            </w:r>
            <w:r w:rsidR="00364274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</w:tc>
      </w:tr>
      <w:tr w:rsidR="0038792A" w:rsidRPr="003A25E2" w14:paraId="65BE2C18" w14:textId="77777777" w:rsidTr="00134D53">
        <w:trPr>
          <w:trHeight w:val="1401"/>
        </w:trPr>
        <w:tc>
          <w:tcPr>
            <w:tcW w:w="1537" w:type="dxa"/>
          </w:tcPr>
          <w:p w14:paraId="217DD158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72D4CF51" w14:textId="77777777" w:rsidR="004127D1" w:rsidRDefault="004127D1" w:rsidP="00BE4F41">
            <w:pPr>
              <w:pStyle w:val="ListeParagraf"/>
              <w:widowControl w:val="0"/>
              <w:numPr>
                <w:ilvl w:val="0"/>
                <w:numId w:val="12"/>
              </w:numPr>
              <w:tabs>
                <w:tab w:val="left" w:pos="1283"/>
                <w:tab w:val="left" w:pos="1284"/>
              </w:tabs>
              <w:autoSpaceDE w:val="0"/>
              <w:autoSpaceDN w:val="0"/>
              <w:spacing w:before="120" w:after="120" w:line="360" w:lineRule="auto"/>
              <w:ind w:right="14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muhtelif boy ve ebatları olmalıdır.</w:t>
            </w:r>
          </w:p>
          <w:p w14:paraId="69225906" w14:textId="26A02FE9" w:rsidR="0038792A" w:rsidRPr="008E246F" w:rsidRDefault="00AF099F" w:rsidP="004127D1">
            <w:pPr>
              <w:pStyle w:val="ListeParagraf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autoSpaceDE w:val="0"/>
              <w:autoSpaceDN w:val="0"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7D1" w:rsidRPr="00B858C2">
              <w:rPr>
                <w:rFonts w:ascii="Times New Roman" w:hAnsi="Times New Roman" w:cs="Times New Roman"/>
                <w:sz w:val="24"/>
                <w:szCs w:val="24"/>
              </w:rPr>
              <w:t xml:space="preserve">Ondalık kesirleri istenilen basamağa göre yuvarlarken önce yuvarlanacak basamağın sağındaki ilk rakama </w:t>
            </w:r>
            <w:proofErr w:type="spellStart"/>
            <w:proofErr w:type="gramStart"/>
            <w:r w:rsidR="004127D1" w:rsidRPr="00B858C2">
              <w:rPr>
                <w:rFonts w:ascii="Times New Roman" w:hAnsi="Times New Roman" w:cs="Times New Roman"/>
                <w:sz w:val="24"/>
                <w:szCs w:val="24"/>
              </w:rPr>
              <w:t>bakılır.Bu</w:t>
            </w:r>
            <w:proofErr w:type="spellEnd"/>
            <w:proofErr w:type="gramEnd"/>
            <w:r w:rsidR="004127D1" w:rsidRPr="00B858C2">
              <w:rPr>
                <w:rFonts w:ascii="Times New Roman" w:hAnsi="Times New Roman" w:cs="Times New Roman"/>
                <w:sz w:val="24"/>
                <w:szCs w:val="24"/>
              </w:rPr>
              <w:t xml:space="preserve"> rakam 5’e eşit veya 5’ten büyük ise yuvarlanacak basamaktaki rakam 1 artırılır ve bu basamağın sağındaki diğer basamaklar atılır.5’ten küçük ise yuvarlanacak basamaktaki rakam değişmez ve bu basamağın sağındaki diğer basamaklar atılır.</w:t>
            </w:r>
          </w:p>
        </w:tc>
      </w:tr>
      <w:tr w:rsidR="0038792A" w:rsidRPr="003A25E2" w14:paraId="7472B4D2" w14:textId="77777777" w:rsidTr="006F1EA7">
        <w:trPr>
          <w:trHeight w:val="1640"/>
        </w:trPr>
        <w:tc>
          <w:tcPr>
            <w:tcW w:w="1537" w:type="dxa"/>
          </w:tcPr>
          <w:p w14:paraId="4BAE8AA8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020A2521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A3F0B26" w14:textId="77777777" w:rsidR="00930AE4" w:rsidRPr="00335E85" w:rsidRDefault="00930AE4" w:rsidP="00A00148">
            <w:pPr>
              <w:pStyle w:val="Gvdemetni10"/>
              <w:numPr>
                <w:ilvl w:val="0"/>
                <w:numId w:val="12"/>
              </w:numPr>
              <w:shd w:val="clear" w:color="auto" w:fill="auto"/>
              <w:tabs>
                <w:tab w:val="left" w:pos="526"/>
              </w:tabs>
              <w:spacing w:before="120" w:after="120" w:line="276" w:lineRule="auto"/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5E8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Ü</w:t>
            </w:r>
            <w:r w:rsidRPr="00335E85">
              <w:rPr>
                <w:rStyle w:val="Gvdemetni0"/>
                <w:rFonts w:ascii="Times New Roman" w:hAnsi="Times New Roman" w:cs="Times New Roman"/>
                <w:sz w:val="24"/>
                <w:szCs w:val="24"/>
              </w:rPr>
              <w:t xml:space="preserve">rün en az </w:t>
            </w:r>
            <w:r>
              <w:rPr>
                <w:rStyle w:val="Gvdemetni0"/>
                <w:rFonts w:ascii="Times New Roman" w:hAnsi="Times New Roman" w:cs="Times New Roman"/>
                <w:sz w:val="24"/>
                <w:szCs w:val="24"/>
              </w:rPr>
              <w:t>2</w:t>
            </w:r>
            <w:r w:rsidRPr="00335E85">
              <w:rPr>
                <w:rStyle w:val="Gvdemetni0"/>
                <w:rFonts w:ascii="Times New Roman" w:hAnsi="Times New Roman" w:cs="Times New Roman"/>
                <w:sz w:val="24"/>
                <w:szCs w:val="24"/>
              </w:rPr>
              <w:t xml:space="preserve"> tabakadan oluşmalıdır;</w:t>
            </w:r>
          </w:p>
          <w:p w14:paraId="3F9B986F" w14:textId="77777777" w:rsidR="00364274" w:rsidRDefault="00364274" w:rsidP="00A00148">
            <w:pPr>
              <w:pStyle w:val="Gvdemetni10"/>
              <w:numPr>
                <w:ilvl w:val="0"/>
                <w:numId w:val="15"/>
              </w:numPr>
              <w:shd w:val="clear" w:color="auto" w:fill="auto"/>
              <w:tabs>
                <w:tab w:val="left" w:pos="526"/>
              </w:tabs>
              <w:spacing w:before="120" w:after="120" w:line="276" w:lineRule="auto"/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Toksik olmayan yara tema tabakası,</w:t>
            </w:r>
          </w:p>
          <w:p w14:paraId="4F33ACD2" w14:textId="77777777" w:rsidR="00121081" w:rsidRPr="00121081" w:rsidRDefault="00930AE4" w:rsidP="00A00148">
            <w:pPr>
              <w:pStyle w:val="Gvdemetni10"/>
              <w:numPr>
                <w:ilvl w:val="0"/>
                <w:numId w:val="15"/>
              </w:numPr>
              <w:shd w:val="clear" w:color="auto" w:fill="auto"/>
              <w:tabs>
                <w:tab w:val="left" w:pos="533"/>
              </w:tabs>
              <w:spacing w:before="120" w:after="120" w:line="276" w:lineRule="auto"/>
              <w:rPr>
                <w:rFonts w:eastAsiaTheme="minorEastAsia"/>
                <w:kern w:val="3"/>
                <w:sz w:val="24"/>
                <w:szCs w:val="24"/>
                <w:shd w:val="clear" w:color="auto" w:fill="FFFFFF"/>
              </w:rPr>
            </w:pPr>
            <w:r w:rsidRPr="00F25772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Emici </w:t>
            </w:r>
            <w:proofErr w:type="spellStart"/>
            <w:r w:rsidRPr="00F25772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hidroselülerped</w:t>
            </w:r>
            <w:proofErr w:type="spellEnd"/>
            <w:r w:rsidRPr="00F25772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 veya poliüretan </w:t>
            </w:r>
            <w:proofErr w:type="spellStart"/>
            <w:r w:rsidRPr="00F25772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ped</w:t>
            </w:r>
            <w:proofErr w:type="spellEnd"/>
            <w:r w:rsidRPr="00F25772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 tabak</w:t>
            </w:r>
            <w:r w:rsidR="00121081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a,</w:t>
            </w:r>
          </w:p>
          <w:p w14:paraId="0C79CD9B" w14:textId="1222B84A" w:rsidR="00631B51" w:rsidRPr="00631B51" w:rsidRDefault="00CD48B5" w:rsidP="00A00148">
            <w:pPr>
              <w:pStyle w:val="Gvdemetni10"/>
              <w:numPr>
                <w:ilvl w:val="0"/>
                <w:numId w:val="12"/>
              </w:numPr>
              <w:shd w:val="clear" w:color="auto" w:fill="auto"/>
              <w:tabs>
                <w:tab w:val="left" w:pos="533"/>
              </w:tabs>
              <w:spacing w:before="120" w:after="120" w:line="276" w:lineRule="auto"/>
              <w:rPr>
                <w:rFonts w:eastAsiaTheme="minorEastAsia"/>
                <w:kern w:val="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 </w:t>
            </w:r>
            <w:r w:rsidR="00631B51">
              <w:rPr>
                <w:sz w:val="24"/>
                <w:szCs w:val="24"/>
              </w:rPr>
              <w:t>Ü</w:t>
            </w:r>
            <w:r w:rsidR="00631B51">
              <w:t xml:space="preserve">rünün </w:t>
            </w:r>
            <w:proofErr w:type="spellStart"/>
            <w:r w:rsidR="00631B51">
              <w:t>poliüreten</w:t>
            </w:r>
            <w:proofErr w:type="spellEnd"/>
            <w:r w:rsidR="00631B51">
              <w:t xml:space="preserve"> köpük tabakasının kalınlığı en az 1mm olmalıdır.</w:t>
            </w:r>
          </w:p>
          <w:p w14:paraId="37D17A91" w14:textId="5904B670" w:rsidR="00371BB6" w:rsidRPr="00371BB6" w:rsidRDefault="00CD48B5" w:rsidP="00A00148">
            <w:pPr>
              <w:pStyle w:val="Gvdemetni10"/>
              <w:numPr>
                <w:ilvl w:val="0"/>
                <w:numId w:val="12"/>
              </w:numPr>
              <w:shd w:val="clear" w:color="auto" w:fill="auto"/>
              <w:tabs>
                <w:tab w:val="left" w:pos="533"/>
              </w:tabs>
              <w:spacing w:before="120" w:after="120" w:line="276" w:lineRule="auto"/>
              <w:rPr>
                <w:rFonts w:eastAsiaTheme="minorEastAsia"/>
                <w:kern w:val="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 </w:t>
            </w:r>
            <w:r w:rsidR="00371BB6" w:rsidRPr="00335E85">
              <w:rPr>
                <w:sz w:val="24"/>
                <w:szCs w:val="24"/>
              </w:rPr>
              <w:t>Ürün</w:t>
            </w:r>
            <w:r w:rsidR="00364274">
              <w:rPr>
                <w:sz w:val="24"/>
                <w:szCs w:val="24"/>
              </w:rPr>
              <w:t xml:space="preserve"> maksimum </w:t>
            </w:r>
            <w:proofErr w:type="spellStart"/>
            <w:r w:rsidR="00364274">
              <w:rPr>
                <w:sz w:val="24"/>
                <w:szCs w:val="24"/>
              </w:rPr>
              <w:t>absorbe</w:t>
            </w:r>
            <w:proofErr w:type="spellEnd"/>
            <w:r w:rsidR="00364274">
              <w:rPr>
                <w:sz w:val="24"/>
                <w:szCs w:val="24"/>
              </w:rPr>
              <w:t xml:space="preserve"> olma özelliğine sahip olmalıdır.</w:t>
            </w:r>
          </w:p>
          <w:p w14:paraId="6CF11949" w14:textId="24D7D270" w:rsidR="00A00148" w:rsidRDefault="00CD48B5" w:rsidP="00A00148">
            <w:pPr>
              <w:pStyle w:val="Gvdemetni10"/>
              <w:numPr>
                <w:ilvl w:val="0"/>
                <w:numId w:val="12"/>
              </w:numPr>
              <w:shd w:val="clear" w:color="auto" w:fill="auto"/>
              <w:tabs>
                <w:tab w:val="left" w:pos="533"/>
                <w:tab w:val="left" w:pos="567"/>
              </w:tabs>
              <w:autoSpaceDE w:val="0"/>
              <w:autoSpaceDN w:val="0"/>
              <w:spacing w:before="120" w:after="120" w:line="276" w:lineRule="auto"/>
              <w:ind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71BB6" w:rsidRPr="00A00148">
              <w:rPr>
                <w:sz w:val="24"/>
                <w:szCs w:val="24"/>
              </w:rPr>
              <w:t>Ürün cildi tahriş etmemeli yaraya zarar vermeden çıkarılabilmeli ve iz bırakmamalıdır.</w:t>
            </w:r>
          </w:p>
          <w:p w14:paraId="4415C3ED" w14:textId="77777777" w:rsidR="00CD48B5" w:rsidRPr="00CD48B5" w:rsidRDefault="00CD48B5" w:rsidP="00CD48B5">
            <w:pPr>
              <w:pStyle w:val="Gvdemetni10"/>
              <w:numPr>
                <w:ilvl w:val="0"/>
                <w:numId w:val="12"/>
              </w:numPr>
              <w:shd w:val="clear" w:color="auto" w:fill="auto"/>
              <w:tabs>
                <w:tab w:val="left" w:pos="533"/>
                <w:tab w:val="left" w:pos="567"/>
              </w:tabs>
              <w:autoSpaceDE w:val="0"/>
              <w:autoSpaceDN w:val="0"/>
              <w:spacing w:before="120" w:after="120" w:line="276" w:lineRule="auto"/>
              <w:ind w:right="142"/>
              <w:jc w:val="both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 xml:space="preserve"> </w:t>
            </w:r>
            <w:r w:rsidR="00371BB6" w:rsidRPr="00A00148">
              <w:rPr>
                <w:spacing w:val="9"/>
                <w:sz w:val="24"/>
                <w:szCs w:val="24"/>
              </w:rPr>
              <w:t xml:space="preserve">Ürün </w:t>
            </w:r>
            <w:proofErr w:type="spellStart"/>
            <w:r w:rsidR="00371BB6" w:rsidRPr="00A00148">
              <w:rPr>
                <w:spacing w:val="9"/>
                <w:sz w:val="24"/>
                <w:szCs w:val="24"/>
              </w:rPr>
              <w:t>t</w:t>
            </w:r>
            <w:r w:rsidR="004127D1" w:rsidRPr="00A00148">
              <w:rPr>
                <w:spacing w:val="9"/>
                <w:sz w:val="24"/>
                <w:szCs w:val="24"/>
              </w:rPr>
              <w:t>oksik</w:t>
            </w:r>
            <w:proofErr w:type="spellEnd"/>
            <w:r>
              <w:rPr>
                <w:spacing w:val="9"/>
                <w:sz w:val="24"/>
                <w:szCs w:val="24"/>
              </w:rPr>
              <w:t xml:space="preserve"> </w:t>
            </w:r>
            <w:r w:rsidR="004127D1" w:rsidRPr="00A00148">
              <w:rPr>
                <w:spacing w:val="5"/>
                <w:sz w:val="24"/>
                <w:szCs w:val="24"/>
              </w:rPr>
              <w:t xml:space="preserve">ve </w:t>
            </w:r>
            <w:r w:rsidR="004127D1" w:rsidRPr="00A00148">
              <w:rPr>
                <w:spacing w:val="9"/>
                <w:sz w:val="24"/>
                <w:szCs w:val="24"/>
              </w:rPr>
              <w:t>alerjik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 w:rsidR="004127D1" w:rsidRPr="00A00148">
              <w:rPr>
                <w:spacing w:val="10"/>
                <w:sz w:val="24"/>
                <w:szCs w:val="24"/>
              </w:rPr>
              <w:t>olmamalıdır</w:t>
            </w:r>
            <w:r w:rsidR="00371BB6" w:rsidRPr="00A00148">
              <w:rPr>
                <w:spacing w:val="10"/>
                <w:sz w:val="24"/>
                <w:szCs w:val="24"/>
              </w:rPr>
              <w:t>.</w:t>
            </w:r>
          </w:p>
          <w:p w14:paraId="5E251114" w14:textId="3D5D6C6F" w:rsidR="00134D53" w:rsidRPr="00CD48B5" w:rsidRDefault="00674159" w:rsidP="00CD48B5">
            <w:pPr>
              <w:pStyle w:val="Gvdemetni10"/>
              <w:numPr>
                <w:ilvl w:val="0"/>
                <w:numId w:val="12"/>
              </w:numPr>
              <w:shd w:val="clear" w:color="auto" w:fill="auto"/>
              <w:tabs>
                <w:tab w:val="left" w:pos="533"/>
                <w:tab w:val="left" w:pos="567"/>
              </w:tabs>
              <w:autoSpaceDE w:val="0"/>
              <w:autoSpaceDN w:val="0"/>
              <w:spacing w:before="120" w:after="120" w:line="276" w:lineRule="auto"/>
              <w:ind w:right="142"/>
              <w:jc w:val="both"/>
              <w:rPr>
                <w:sz w:val="24"/>
                <w:szCs w:val="24"/>
              </w:rPr>
            </w:pPr>
            <w:r w:rsidRPr="00CD48B5">
              <w:rPr>
                <w:rFonts w:eastAsia="Cambria"/>
                <w:sz w:val="24"/>
                <w:szCs w:val="24"/>
              </w:rPr>
              <w:t xml:space="preserve">Ürün </w:t>
            </w:r>
            <w:proofErr w:type="spellStart"/>
            <w:r w:rsidR="00134D53" w:rsidRPr="00CD48B5">
              <w:rPr>
                <w:sz w:val="24"/>
                <w:szCs w:val="24"/>
              </w:rPr>
              <w:t>su,virüs</w:t>
            </w:r>
            <w:proofErr w:type="spellEnd"/>
            <w:r w:rsidR="00134D53" w:rsidRPr="00CD48B5">
              <w:rPr>
                <w:sz w:val="24"/>
                <w:szCs w:val="24"/>
              </w:rPr>
              <w:t xml:space="preserve"> ve bakteri geçirmemelidir.</w:t>
            </w:r>
          </w:p>
          <w:p w14:paraId="4F0D2247" w14:textId="77777777" w:rsidR="00674159" w:rsidRPr="00674159" w:rsidRDefault="00674159" w:rsidP="00A00148">
            <w:pPr>
              <w:pStyle w:val="ListeParagraf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autoSpaceDE w:val="0"/>
              <w:autoSpaceDN w:val="0"/>
              <w:spacing w:before="120" w:after="120"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Ürün sızıntıya izin vermeyecek yapıda olmalıdır</w:t>
            </w:r>
            <w:r w:rsidR="00364274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45E8DADB" w14:textId="00D58C02" w:rsidR="005F3770" w:rsidRPr="00335E85" w:rsidRDefault="005F3770" w:rsidP="00A00148">
            <w:pPr>
              <w:pStyle w:val="ListeParagraf"/>
              <w:widowControl w:val="0"/>
              <w:numPr>
                <w:ilvl w:val="0"/>
                <w:numId w:val="12"/>
              </w:numPr>
              <w:tabs>
                <w:tab w:val="left" w:pos="1283"/>
                <w:tab w:val="left" w:pos="1284"/>
              </w:tabs>
              <w:autoSpaceDE w:val="0"/>
              <w:autoSpaceDN w:val="0"/>
              <w:spacing w:before="120" w:after="120" w:line="276" w:lineRule="auto"/>
              <w:ind w:right="14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335E85">
              <w:rPr>
                <w:rFonts w:ascii="Times New Roman" w:hAnsi="Times New Roman" w:cs="Times New Roman"/>
                <w:sz w:val="24"/>
                <w:szCs w:val="24"/>
              </w:rPr>
              <w:t xml:space="preserve">yarayı nemli tutmalı, sağlam dokuyu </w:t>
            </w:r>
            <w:proofErr w:type="spellStart"/>
            <w:r w:rsidRPr="00335E85">
              <w:rPr>
                <w:rFonts w:ascii="Times New Roman" w:hAnsi="Times New Roman" w:cs="Times New Roman"/>
                <w:sz w:val="24"/>
                <w:szCs w:val="24"/>
              </w:rPr>
              <w:t>masere</w:t>
            </w:r>
            <w:proofErr w:type="spellEnd"/>
            <w:r w:rsidRPr="00335E85">
              <w:rPr>
                <w:rFonts w:ascii="Times New Roman" w:hAnsi="Times New Roman" w:cs="Times New Roman"/>
                <w:sz w:val="24"/>
                <w:szCs w:val="24"/>
              </w:rPr>
              <w:t xml:space="preserve"> etmemeli</w:t>
            </w:r>
            <w:r w:rsidR="003E2FC8">
              <w:rPr>
                <w:rFonts w:ascii="Times New Roman" w:hAnsi="Times New Roman" w:cs="Times New Roman"/>
                <w:sz w:val="24"/>
                <w:szCs w:val="24"/>
              </w:rPr>
              <w:t xml:space="preserve"> ve baskılı pansuman uygulamalarında emicilik özelliğini korumalıdır.</w:t>
            </w:r>
          </w:p>
          <w:p w14:paraId="1120CDF7" w14:textId="77777777" w:rsidR="005F3770" w:rsidRPr="00335E85" w:rsidRDefault="005F3770" w:rsidP="00A00148">
            <w:pPr>
              <w:pStyle w:val="ListeParagraf"/>
              <w:widowControl w:val="0"/>
              <w:numPr>
                <w:ilvl w:val="0"/>
                <w:numId w:val="12"/>
              </w:numPr>
              <w:tabs>
                <w:tab w:val="left" w:pos="1283"/>
                <w:tab w:val="left" w:pos="1284"/>
              </w:tabs>
              <w:autoSpaceDE w:val="0"/>
              <w:autoSpaceDN w:val="0"/>
              <w:spacing w:before="120" w:after="120" w:line="276" w:lineRule="auto"/>
              <w:ind w:right="14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5">
              <w:rPr>
                <w:rFonts w:ascii="Times New Roman" w:hAnsi="Times New Roman" w:cs="Times New Roman"/>
                <w:sz w:val="24"/>
                <w:szCs w:val="24"/>
              </w:rPr>
              <w:t>Ürün hava geçirmelidir.</w:t>
            </w:r>
          </w:p>
          <w:p w14:paraId="673397DB" w14:textId="77777777" w:rsidR="00A00148" w:rsidRPr="00A00148" w:rsidRDefault="00674159" w:rsidP="00A00148">
            <w:pPr>
              <w:pStyle w:val="ListeParagraf"/>
              <w:widowControl w:val="0"/>
              <w:numPr>
                <w:ilvl w:val="0"/>
                <w:numId w:val="12"/>
              </w:numPr>
              <w:tabs>
                <w:tab w:val="left" w:pos="1283"/>
                <w:tab w:val="left" w:pos="1284"/>
              </w:tabs>
              <w:autoSpaceDE w:val="0"/>
              <w:autoSpaceDN w:val="0"/>
              <w:spacing w:before="120" w:after="120" w:line="276" w:lineRule="auto"/>
              <w:ind w:right="14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Ürünün</w:t>
            </w:r>
            <w:r w:rsidR="00134D53">
              <w:rPr>
                <w:rFonts w:ascii="Times New Roman" w:eastAsia="Cambria" w:hAnsi="Times New Roman" w:cs="Times New Roman"/>
                <w:sz w:val="24"/>
                <w:szCs w:val="24"/>
              </w:rPr>
              <w:t>,</w:t>
            </w:r>
            <w:r w:rsidR="008E246F" w:rsidRPr="008E246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kenarlarında</w:t>
            </w:r>
            <w:proofErr w:type="spellEnd"/>
            <w:proofErr w:type="gramEnd"/>
            <w:r w:rsidR="008E246F" w:rsidRPr="008E246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yapışkan </w:t>
            </w:r>
            <w:proofErr w:type="spellStart"/>
            <w:r w:rsidR="008E246F" w:rsidRPr="008E246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border</w:t>
            </w:r>
            <w:proofErr w:type="spellEnd"/>
            <w:r w:rsidR="008E246F" w:rsidRPr="008E246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olmamalıd</w:t>
            </w:r>
            <w:r w:rsidR="008E246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ır.</w:t>
            </w:r>
          </w:p>
          <w:p w14:paraId="7D1A92B4" w14:textId="77777777" w:rsidR="0038792A" w:rsidRPr="00A00148" w:rsidRDefault="00674159" w:rsidP="00A00148">
            <w:pPr>
              <w:pStyle w:val="ListeParagraf"/>
              <w:widowControl w:val="0"/>
              <w:numPr>
                <w:ilvl w:val="0"/>
                <w:numId w:val="12"/>
              </w:numPr>
              <w:tabs>
                <w:tab w:val="left" w:pos="1283"/>
                <w:tab w:val="left" w:pos="1284"/>
              </w:tabs>
              <w:autoSpaceDE w:val="0"/>
              <w:autoSpaceDN w:val="0"/>
              <w:spacing w:before="120" w:after="120" w:line="276" w:lineRule="auto"/>
              <w:ind w:right="142"/>
              <w:contextualSpacing w:val="0"/>
              <w:jc w:val="both"/>
              <w:rPr>
                <w:rStyle w:val="Gvdemetni0"/>
                <w:rFonts w:ascii="Times New Roman" w:eastAsiaTheme="minorHAnsi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 w:rsidRPr="00A00148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 Ürün </w:t>
            </w:r>
            <w:proofErr w:type="spellStart"/>
            <w:r w:rsidRPr="00A00148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eksudanın</w:t>
            </w:r>
            <w:proofErr w:type="spellEnd"/>
            <w:r w:rsidRPr="00A00148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 miktarına bağlı olarak, yara üzerinde 7 (yedi) </w:t>
            </w:r>
            <w:r w:rsidR="00A00148" w:rsidRPr="00A00148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güne</w:t>
            </w:r>
            <w:r w:rsidR="00A00148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 kadar </w:t>
            </w:r>
            <w:r w:rsidR="00A00148" w:rsidRPr="00A00148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kalabilmelidir.</w:t>
            </w:r>
          </w:p>
          <w:p w14:paraId="7C877A7B" w14:textId="7FC57AC8" w:rsidR="00A00148" w:rsidRPr="00A00148" w:rsidRDefault="00A00148" w:rsidP="00A00148">
            <w:pPr>
              <w:pStyle w:val="ListeParagraf"/>
              <w:widowControl w:val="0"/>
              <w:tabs>
                <w:tab w:val="left" w:pos="1283"/>
                <w:tab w:val="left" w:pos="1284"/>
              </w:tabs>
              <w:autoSpaceDE w:val="0"/>
              <w:autoSpaceDN w:val="0"/>
              <w:spacing w:before="120" w:after="120" w:line="276" w:lineRule="auto"/>
              <w:ind w:right="14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2A" w:rsidRPr="003A25E2" w14:paraId="25106FED" w14:textId="77777777" w:rsidTr="006F1EA7">
        <w:trPr>
          <w:trHeight w:val="1025"/>
        </w:trPr>
        <w:tc>
          <w:tcPr>
            <w:tcW w:w="1537" w:type="dxa"/>
          </w:tcPr>
          <w:p w14:paraId="6F8FCB1B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7A6FBD85" w14:textId="77777777" w:rsidR="000333BA" w:rsidRPr="00E538AD" w:rsidRDefault="000333BA" w:rsidP="00AE0F87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Ürünler steril,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2BC69B1E" w14:textId="72B719A1" w:rsidR="000333BA" w:rsidRPr="009B53A3" w:rsidRDefault="000333BA" w:rsidP="00AE0F87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</w:t>
            </w:r>
            <w:r w:rsidR="009B7F2D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ve LOT bilgisi bulunmalıdır.</w:t>
            </w:r>
          </w:p>
          <w:p w14:paraId="7D3994DA" w14:textId="019FE1F6" w:rsidR="00DC6B22" w:rsidRPr="009B53A3" w:rsidRDefault="009B53A3" w:rsidP="00956B39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3"/>
              <w:jc w:val="both"/>
            </w:pPr>
            <w:r w:rsidRPr="00082E4D">
              <w:rPr>
                <w:rFonts w:ascii="Times New Roman" w:eastAsia="Cambria" w:hAnsi="Times New Roman" w:cs="Times New Roman"/>
                <w:sz w:val="24"/>
                <w:szCs w:val="24"/>
              </w:rPr>
              <w:t>Firma ürün kayıt başvuru aşamasında teknik şartnamedeki özellikleri kanıtlayan belgeleri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</w:t>
            </w:r>
            <w:r w:rsidRPr="00082E4D">
              <w:rPr>
                <w:rFonts w:ascii="Times New Roman" w:eastAsia="Cambria" w:hAnsi="Times New Roman" w:cs="Times New Roman"/>
                <w:sz w:val="24"/>
                <w:szCs w:val="24"/>
              </w:rPr>
              <w:t>ürün kataloğunu ve tüm özelliklerini ispatlar özellikteki belgeleri ibraz etme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lidir.</w:t>
            </w:r>
            <w:bookmarkStart w:id="0" w:name="_GoBack"/>
            <w:bookmarkEnd w:id="0"/>
          </w:p>
        </w:tc>
      </w:tr>
    </w:tbl>
    <w:p w14:paraId="02A28CFA" w14:textId="77777777" w:rsidR="008E246F" w:rsidRPr="00E43432" w:rsidRDefault="008E246F" w:rsidP="008E246F">
      <w:pPr>
        <w:pStyle w:val="GvdeMetni1"/>
        <w:spacing w:before="120" w:after="120" w:line="360" w:lineRule="auto"/>
        <w:ind w:right="283"/>
        <w:contextualSpacing/>
        <w:jc w:val="both"/>
        <w:rPr>
          <w:b/>
        </w:rPr>
      </w:pPr>
    </w:p>
    <w:p w14:paraId="3106F6F0" w14:textId="77777777" w:rsidR="00DF7E83" w:rsidRPr="003A25E2" w:rsidRDefault="00DF7E83" w:rsidP="00DF7E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3C1DCB" w14:textId="77777777" w:rsidR="003F293A" w:rsidRPr="003A25E2" w:rsidRDefault="003F293A" w:rsidP="00DF7E83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F293A" w:rsidRPr="003A25E2" w:rsidSect="00B323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4E692" w14:textId="77777777" w:rsidR="006E3C54" w:rsidRDefault="006E3C54" w:rsidP="0038792A">
      <w:pPr>
        <w:spacing w:after="0" w:line="240" w:lineRule="auto"/>
      </w:pPr>
      <w:r>
        <w:separator/>
      </w:r>
    </w:p>
  </w:endnote>
  <w:endnote w:type="continuationSeparator" w:id="0">
    <w:p w14:paraId="752C85BA" w14:textId="77777777" w:rsidR="006E3C54" w:rsidRDefault="006E3C54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B1A21" w14:textId="77777777" w:rsidR="006E3C54" w:rsidRDefault="006E3C54" w:rsidP="0038792A">
      <w:pPr>
        <w:spacing w:after="0" w:line="240" w:lineRule="auto"/>
      </w:pPr>
      <w:r>
        <w:separator/>
      </w:r>
    </w:p>
  </w:footnote>
  <w:footnote w:type="continuationSeparator" w:id="0">
    <w:p w14:paraId="2BC8DA97" w14:textId="77777777" w:rsidR="006E3C54" w:rsidRDefault="006E3C54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8D5F9" w14:textId="3F026A28" w:rsidR="009B409B" w:rsidRPr="00E43432" w:rsidRDefault="009B409B" w:rsidP="009B409B">
    <w:pPr>
      <w:pStyle w:val="GvdeMetni1"/>
      <w:spacing w:before="120" w:after="120" w:line="360" w:lineRule="auto"/>
      <w:ind w:right="283"/>
      <w:contextualSpacing/>
      <w:jc w:val="both"/>
      <w:rPr>
        <w:b/>
      </w:rPr>
    </w:pPr>
    <w:r w:rsidRPr="00E43432">
      <w:rPr>
        <w:b/>
      </w:rPr>
      <w:t>SMT1391 YARA ÖRTÜSÜ, KÖPÜK/SÜNGER,</w:t>
    </w:r>
    <w:r w:rsidR="00AF099F">
      <w:rPr>
        <w:b/>
      </w:rPr>
      <w:t xml:space="preserve"> </w:t>
    </w:r>
    <w:r w:rsidRPr="00E43432">
      <w:rPr>
        <w:b/>
      </w:rPr>
      <w:t>YAPIŞKANSIZ</w:t>
    </w:r>
  </w:p>
  <w:p w14:paraId="5755A106" w14:textId="77777777" w:rsidR="009B409B" w:rsidRDefault="009B40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F64B8"/>
    <w:multiLevelType w:val="hybridMultilevel"/>
    <w:tmpl w:val="5562FDC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A147BE"/>
    <w:multiLevelType w:val="hybridMultilevel"/>
    <w:tmpl w:val="09545B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07414"/>
    <w:multiLevelType w:val="hybridMultilevel"/>
    <w:tmpl w:val="E104F02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9076BB"/>
    <w:multiLevelType w:val="hybridMultilevel"/>
    <w:tmpl w:val="6E1207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D1EC0"/>
    <w:multiLevelType w:val="hybridMultilevel"/>
    <w:tmpl w:val="DEF4BCE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8113D5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8F4DA"/>
    <w:multiLevelType w:val="singleLevel"/>
    <w:tmpl w:val="5538F4D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11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F727A1"/>
    <w:multiLevelType w:val="hybridMultilevel"/>
    <w:tmpl w:val="174C23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C26EB"/>
    <w:multiLevelType w:val="hybridMultilevel"/>
    <w:tmpl w:val="6E1207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BF076"/>
    <w:multiLevelType w:val="singleLevel"/>
    <w:tmpl w:val="7C1BF07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14"/>
  </w:num>
  <w:num w:numId="8">
    <w:abstractNumId w:val="7"/>
  </w:num>
  <w:num w:numId="9">
    <w:abstractNumId w:val="9"/>
  </w:num>
  <w:num w:numId="10">
    <w:abstractNumId w:val="12"/>
  </w:num>
  <w:num w:numId="11">
    <w:abstractNumId w:val="2"/>
  </w:num>
  <w:num w:numId="12">
    <w:abstractNumId w:val="13"/>
  </w:num>
  <w:num w:numId="13">
    <w:abstractNumId w:val="6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258C1"/>
    <w:rsid w:val="000333BA"/>
    <w:rsid w:val="000633B5"/>
    <w:rsid w:val="00121081"/>
    <w:rsid w:val="00134D53"/>
    <w:rsid w:val="00150F67"/>
    <w:rsid w:val="0016259C"/>
    <w:rsid w:val="002153FC"/>
    <w:rsid w:val="003136C5"/>
    <w:rsid w:val="00315A85"/>
    <w:rsid w:val="00364274"/>
    <w:rsid w:val="00371BB6"/>
    <w:rsid w:val="00377909"/>
    <w:rsid w:val="0038792A"/>
    <w:rsid w:val="003A25E2"/>
    <w:rsid w:val="003E2FC8"/>
    <w:rsid w:val="003F293A"/>
    <w:rsid w:val="003F3E5D"/>
    <w:rsid w:val="00404D6E"/>
    <w:rsid w:val="004127D1"/>
    <w:rsid w:val="00434238"/>
    <w:rsid w:val="00484756"/>
    <w:rsid w:val="00496F1B"/>
    <w:rsid w:val="005005E0"/>
    <w:rsid w:val="00567D2C"/>
    <w:rsid w:val="005F3770"/>
    <w:rsid w:val="00607987"/>
    <w:rsid w:val="00631B51"/>
    <w:rsid w:val="00674159"/>
    <w:rsid w:val="0069389A"/>
    <w:rsid w:val="006A188F"/>
    <w:rsid w:val="006E3C54"/>
    <w:rsid w:val="006F1EA7"/>
    <w:rsid w:val="00713A81"/>
    <w:rsid w:val="00713D4B"/>
    <w:rsid w:val="00752072"/>
    <w:rsid w:val="007630AF"/>
    <w:rsid w:val="00773C62"/>
    <w:rsid w:val="007A69A0"/>
    <w:rsid w:val="007D3A1F"/>
    <w:rsid w:val="00815113"/>
    <w:rsid w:val="00846DDE"/>
    <w:rsid w:val="008B53F3"/>
    <w:rsid w:val="008E246F"/>
    <w:rsid w:val="00930AE4"/>
    <w:rsid w:val="00935F95"/>
    <w:rsid w:val="00953DD5"/>
    <w:rsid w:val="00956B39"/>
    <w:rsid w:val="0096546C"/>
    <w:rsid w:val="009B409B"/>
    <w:rsid w:val="009B53A3"/>
    <w:rsid w:val="009B7F2D"/>
    <w:rsid w:val="00A00148"/>
    <w:rsid w:val="00A120E6"/>
    <w:rsid w:val="00A96903"/>
    <w:rsid w:val="00AB65D6"/>
    <w:rsid w:val="00AE0F87"/>
    <w:rsid w:val="00AF099F"/>
    <w:rsid w:val="00B32397"/>
    <w:rsid w:val="00B8164B"/>
    <w:rsid w:val="00B97A16"/>
    <w:rsid w:val="00BE4F41"/>
    <w:rsid w:val="00C4712D"/>
    <w:rsid w:val="00C87155"/>
    <w:rsid w:val="00CA014A"/>
    <w:rsid w:val="00CA7736"/>
    <w:rsid w:val="00CD48B5"/>
    <w:rsid w:val="00CD6693"/>
    <w:rsid w:val="00D26A2B"/>
    <w:rsid w:val="00D4188B"/>
    <w:rsid w:val="00D44149"/>
    <w:rsid w:val="00D64ECB"/>
    <w:rsid w:val="00DA0E1E"/>
    <w:rsid w:val="00DC6B22"/>
    <w:rsid w:val="00DC74D2"/>
    <w:rsid w:val="00DF6F5E"/>
    <w:rsid w:val="00DF7E83"/>
    <w:rsid w:val="00E27A4F"/>
    <w:rsid w:val="00E3230A"/>
    <w:rsid w:val="00E33462"/>
    <w:rsid w:val="00E40D3B"/>
    <w:rsid w:val="00E40E0C"/>
    <w:rsid w:val="00E43432"/>
    <w:rsid w:val="00E74E41"/>
    <w:rsid w:val="00E87FC5"/>
    <w:rsid w:val="00EF6759"/>
    <w:rsid w:val="00EF74A6"/>
    <w:rsid w:val="00F112A9"/>
    <w:rsid w:val="00F25772"/>
    <w:rsid w:val="00FC7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EA94C2"/>
  <w15:docId w15:val="{38D1A1E2-55E3-4854-A80B-B8B75AD3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link w:val="Gvdemetni0"/>
    <w:qFormat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paragraph" w:styleId="GvdeMetni1">
    <w:name w:val="Body Text"/>
    <w:basedOn w:val="Normal"/>
    <w:link w:val="GvdeMetniChar"/>
    <w:uiPriority w:val="1"/>
    <w:qFormat/>
    <w:rsid w:val="008E24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1"/>
    <w:uiPriority w:val="1"/>
    <w:rsid w:val="008E246F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0">
    <w:name w:val="Gövde metni_"/>
    <w:basedOn w:val="VarsaylanParagrafYazTipi"/>
    <w:link w:val="Gvdemetni"/>
    <w:qFormat/>
    <w:rsid w:val="00D4188B"/>
    <w:rPr>
      <w:rFonts w:ascii="Segoe UI" w:eastAsia="Segoe UI" w:hAnsi="Segoe UI" w:cs="Segoe UI"/>
      <w:kern w:val="3"/>
      <w:sz w:val="19"/>
      <w:szCs w:val="19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930AE4"/>
    <w:pPr>
      <w:widowControl w:val="0"/>
      <w:shd w:val="clear" w:color="auto" w:fill="FFFFFF"/>
      <w:spacing w:after="0" w:line="240" w:lineRule="atLeast"/>
      <w:ind w:hanging="380"/>
    </w:pPr>
    <w:rPr>
      <w:rFonts w:ascii="Times New Roman" w:eastAsia="Times New Roman" w:hAnsi="Times New Roman" w:cs="Times New Roman"/>
      <w:spacing w:val="-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Tülay MURAT DURUKAN</cp:lastModifiedBy>
  <cp:revision>6</cp:revision>
  <dcterms:created xsi:type="dcterms:W3CDTF">2025-10-23T12:57:00Z</dcterms:created>
  <dcterms:modified xsi:type="dcterms:W3CDTF">2025-11-06T08:45:00Z</dcterms:modified>
</cp:coreProperties>
</file>