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657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35E85" w:rsidTr="00AA4436">
        <w:trPr>
          <w:trHeight w:val="1134"/>
        </w:trPr>
        <w:tc>
          <w:tcPr>
            <w:tcW w:w="1537" w:type="dxa"/>
          </w:tcPr>
          <w:p w:rsidR="0038792A" w:rsidRPr="00335E85" w:rsidRDefault="0038792A" w:rsidP="00AA44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35E85" w:rsidRDefault="003E66D2" w:rsidP="00AA443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>Ürün, b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ası</w:t>
            </w:r>
            <w:r w:rsidR="00D23F8B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nç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</w:t>
            </w:r>
            <w:r w:rsidR="00D23F8B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nmaları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venöz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ülserler, diyabetik ülserler, yanıklar,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donör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yerleri, genişleyen </w:t>
            </w:r>
            <w:proofErr w:type="spellStart"/>
            <w:r w:rsidR="00D23F8B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malign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 ve cerrahi yolla açılmış yaralar gibi kronik veya   akut tam kalınlıktaki yaraların, kısmi kalınlıkta veya yüzeysel granüle olan,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</w:t>
            </w:r>
            <w:r w:rsidR="00D23F8B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u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dalı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yaraların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sekonder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tedavisinde kullanılmalıdır.</w:t>
            </w:r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Yaradaki </w:t>
            </w:r>
            <w:proofErr w:type="spellStart"/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>eksuda</w:t>
            </w:r>
            <w:proofErr w:type="spellEnd"/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kontrolünü sağlayacak şekilde kullanılmak üzere tasarlanmış olmalıdır</w:t>
            </w:r>
            <w:r w:rsidR="00D2752D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35E85" w:rsidTr="00AA4436">
        <w:trPr>
          <w:trHeight w:val="1117"/>
        </w:trPr>
        <w:tc>
          <w:tcPr>
            <w:tcW w:w="1537" w:type="dxa"/>
          </w:tcPr>
          <w:p w:rsidR="0038792A" w:rsidRPr="00335E85" w:rsidRDefault="0038792A" w:rsidP="00AA44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885CD3" w:rsidRPr="00335E85" w:rsidRDefault="00885CD3" w:rsidP="00AA4436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Ürünün muhtelif boy ve ebatları olmalıdır.</w:t>
            </w:r>
          </w:p>
          <w:p w:rsidR="001D69F1" w:rsidRPr="00335E85" w:rsidRDefault="001D69F1" w:rsidP="00AA4436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35E85" w:rsidTr="00B92C34">
        <w:trPr>
          <w:trHeight w:val="842"/>
        </w:trPr>
        <w:tc>
          <w:tcPr>
            <w:tcW w:w="1537" w:type="dxa"/>
          </w:tcPr>
          <w:p w:rsidR="0038792A" w:rsidRPr="00335E85" w:rsidRDefault="0038792A" w:rsidP="00AA44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35E85" w:rsidRDefault="0038792A" w:rsidP="00AA44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11C09" w:rsidRPr="00335E85" w:rsidRDefault="00A11C09" w:rsidP="00A11C09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Ü</w:t>
            </w:r>
            <w:r w:rsidRPr="00335E85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>rün en az 3 tabakadan oluşmalıdır;</w:t>
            </w:r>
          </w:p>
          <w:p w:rsidR="00A11C09" w:rsidRPr="00335E85" w:rsidRDefault="00D2752D" w:rsidP="00A11C09">
            <w:pPr>
              <w:pStyle w:val="Gvdemetni10"/>
              <w:numPr>
                <w:ilvl w:val="0"/>
                <w:numId w:val="11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olmayan yara temas tabakası,</w:t>
            </w:r>
          </w:p>
          <w:p w:rsidR="00A11C09" w:rsidRPr="00335E85" w:rsidRDefault="00A11C09" w:rsidP="00A11C09">
            <w:pPr>
              <w:pStyle w:val="Gvdemetni10"/>
              <w:numPr>
                <w:ilvl w:val="0"/>
                <w:numId w:val="11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Emici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hidroselüler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veya poliüretan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tabaka,</w:t>
            </w:r>
          </w:p>
          <w:p w:rsidR="00A11C09" w:rsidRPr="00335E85" w:rsidRDefault="00A11C09" w:rsidP="00A11C09">
            <w:pPr>
              <w:pStyle w:val="Gvdemetni10"/>
              <w:numPr>
                <w:ilvl w:val="0"/>
                <w:numId w:val="11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Su geçirmez bir dış film tabaka</w:t>
            </w:r>
            <w:r w:rsidR="00D2752D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oksijen ve buhar geçirgen olmalıdır. </w:t>
            </w:r>
          </w:p>
          <w:p w:rsidR="00380CBC" w:rsidRPr="00335E85" w:rsidRDefault="00D23F8B" w:rsidP="00380CBC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7FC" w:rsidRPr="00335E85">
              <w:rPr>
                <w:sz w:val="24"/>
                <w:szCs w:val="24"/>
              </w:rPr>
              <w:t>Ürünün p</w:t>
            </w:r>
            <w:r w:rsidR="00E430A8" w:rsidRPr="00335E85">
              <w:rPr>
                <w:sz w:val="24"/>
                <w:szCs w:val="24"/>
              </w:rPr>
              <w:t>oliüretan köpük tabaka</w:t>
            </w:r>
            <w:r w:rsidR="00EB37FC" w:rsidRPr="00335E85">
              <w:rPr>
                <w:sz w:val="24"/>
                <w:szCs w:val="24"/>
              </w:rPr>
              <w:t xml:space="preserve">sının </w:t>
            </w:r>
            <w:r w:rsidR="00E430A8" w:rsidRPr="00335E85">
              <w:rPr>
                <w:sz w:val="24"/>
                <w:szCs w:val="24"/>
              </w:rPr>
              <w:t>kalınlığı</w:t>
            </w:r>
            <w:r>
              <w:rPr>
                <w:sz w:val="24"/>
                <w:szCs w:val="24"/>
              </w:rPr>
              <w:t xml:space="preserve"> </w:t>
            </w:r>
            <w:r w:rsidR="00D2752D">
              <w:rPr>
                <w:sz w:val="24"/>
                <w:szCs w:val="24"/>
              </w:rPr>
              <w:t>e</w:t>
            </w:r>
            <w:r w:rsidR="00D2752D">
              <w:t>n az</w:t>
            </w:r>
            <w:r w:rsidR="00E430A8" w:rsidRPr="00335E85">
              <w:rPr>
                <w:sz w:val="24"/>
                <w:szCs w:val="24"/>
              </w:rPr>
              <w:t xml:space="preserve"> </w:t>
            </w:r>
            <w:r w:rsidR="00D2752D">
              <w:rPr>
                <w:sz w:val="24"/>
                <w:szCs w:val="24"/>
              </w:rPr>
              <w:t>1</w:t>
            </w:r>
            <w:r w:rsidR="00E430A8" w:rsidRPr="00335E85">
              <w:rPr>
                <w:sz w:val="24"/>
                <w:szCs w:val="24"/>
              </w:rPr>
              <w:t xml:space="preserve"> mm olmalıdır</w:t>
            </w:r>
            <w:r w:rsidR="00380CBC" w:rsidRPr="00335E85">
              <w:rPr>
                <w:sz w:val="24"/>
                <w:szCs w:val="24"/>
              </w:rPr>
              <w:t>.</w:t>
            </w:r>
          </w:p>
          <w:p w:rsidR="00380CBC" w:rsidRPr="00335E85" w:rsidRDefault="00E430A8" w:rsidP="00380CBC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335E85">
              <w:rPr>
                <w:sz w:val="24"/>
                <w:szCs w:val="24"/>
              </w:rPr>
              <w:t xml:space="preserve"> </w:t>
            </w:r>
            <w:r w:rsidR="00C0285B">
              <w:rPr>
                <w:sz w:val="24"/>
                <w:szCs w:val="24"/>
              </w:rPr>
              <w:t>Ürün m</w:t>
            </w:r>
            <w:r w:rsidR="001D69F1" w:rsidRPr="00335E85">
              <w:rPr>
                <w:sz w:val="24"/>
                <w:szCs w:val="24"/>
              </w:rPr>
              <w:t xml:space="preserve">aksimum </w:t>
            </w:r>
            <w:proofErr w:type="spellStart"/>
            <w:r w:rsidR="001D69F1" w:rsidRPr="00335E85">
              <w:rPr>
                <w:sz w:val="24"/>
                <w:szCs w:val="24"/>
              </w:rPr>
              <w:t>absorbe</w:t>
            </w:r>
            <w:proofErr w:type="spellEnd"/>
            <w:r w:rsidR="001D69F1" w:rsidRPr="00335E85">
              <w:rPr>
                <w:sz w:val="24"/>
                <w:szCs w:val="24"/>
              </w:rPr>
              <w:t xml:space="preserve"> özelliğine sahip olmalıdır.</w:t>
            </w:r>
            <w:r w:rsidRPr="00335E85">
              <w:rPr>
                <w:sz w:val="24"/>
                <w:szCs w:val="24"/>
              </w:rPr>
              <w:t xml:space="preserve"> </w:t>
            </w:r>
            <w:r w:rsidR="00380CBC" w:rsidRPr="00335E85">
              <w:rPr>
                <w:sz w:val="24"/>
                <w:szCs w:val="24"/>
              </w:rPr>
              <w:t xml:space="preserve"> </w:t>
            </w:r>
          </w:p>
          <w:p w:rsidR="00335E85" w:rsidRPr="00335E85" w:rsidRDefault="00D23F8B" w:rsidP="00335E85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CBC" w:rsidRPr="00335E85">
              <w:rPr>
                <w:sz w:val="24"/>
                <w:szCs w:val="24"/>
              </w:rPr>
              <w:t>Ürün cildi tahriş etmemeli yaraya zarar vermeden çıkarılabilmeli ve iz bırakmamalıdır.</w:t>
            </w:r>
          </w:p>
          <w:p w:rsidR="00335E85" w:rsidRPr="00335E85" w:rsidRDefault="00335E85" w:rsidP="00335E85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Ürün sızıntıya izin vermeyecek yapıda olmalıdır.</w:t>
            </w:r>
          </w:p>
          <w:p w:rsidR="00E430A8" w:rsidRPr="00335E85" w:rsidRDefault="00D23F8B" w:rsidP="00335E85">
            <w:pPr>
              <w:pStyle w:val="Gvdemetni10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E85" w:rsidRPr="00335E85">
              <w:rPr>
                <w:sz w:val="24"/>
                <w:szCs w:val="24"/>
              </w:rPr>
              <w:t xml:space="preserve">Ürün </w:t>
            </w:r>
            <w:proofErr w:type="spellStart"/>
            <w:r w:rsidR="00335E85" w:rsidRPr="00335E85">
              <w:rPr>
                <w:sz w:val="24"/>
                <w:szCs w:val="24"/>
              </w:rPr>
              <w:t>t</w:t>
            </w:r>
            <w:r w:rsidR="00E430A8" w:rsidRPr="00335E85">
              <w:rPr>
                <w:sz w:val="24"/>
                <w:szCs w:val="24"/>
              </w:rPr>
              <w:t>oksik</w:t>
            </w:r>
            <w:proofErr w:type="spellEnd"/>
            <w:r w:rsidR="00E430A8" w:rsidRPr="00335E85">
              <w:rPr>
                <w:sz w:val="24"/>
                <w:szCs w:val="24"/>
              </w:rPr>
              <w:t xml:space="preserve"> ve alerjik olmamalıdır.</w:t>
            </w:r>
          </w:p>
          <w:p w:rsidR="004D1DD7" w:rsidRPr="00335E85" w:rsidRDefault="00335E85" w:rsidP="00885CD3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 hava geçirmelidir.</w:t>
            </w:r>
          </w:p>
          <w:p w:rsidR="001D69F1" w:rsidRPr="00335E85" w:rsidRDefault="001D69F1" w:rsidP="00885CD3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D2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r w:rsidR="00D23F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dalı</w:t>
            </w:r>
            <w:proofErr w:type="spellEnd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, akut-kronik her tip yaraların tüm aşamasında kullanılabilmelidir.</w:t>
            </w:r>
          </w:p>
          <w:p w:rsidR="001D69F1" w:rsidRPr="00335E85" w:rsidRDefault="009C61C5" w:rsidP="00885CD3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1D69F1" w:rsidRPr="00335E85">
              <w:rPr>
                <w:rFonts w:ascii="Times New Roman" w:hAnsi="Times New Roman" w:cs="Times New Roman"/>
                <w:sz w:val="24"/>
                <w:szCs w:val="24"/>
              </w:rPr>
              <w:t>enarında sağlam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9F1"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cilde yapışan </w:t>
            </w:r>
            <w:proofErr w:type="spellStart"/>
            <w:r w:rsidR="001D69F1" w:rsidRPr="00335E85">
              <w:rPr>
                <w:rFonts w:ascii="Times New Roman" w:hAnsi="Times New Roman" w:cs="Times New Roman"/>
                <w:sz w:val="24"/>
                <w:szCs w:val="24"/>
              </w:rPr>
              <w:t>border</w:t>
            </w:r>
            <w:proofErr w:type="spellEnd"/>
            <w:r w:rsidR="001D69F1"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kısmı olmalıdır.</w:t>
            </w:r>
          </w:p>
          <w:p w:rsidR="00EB37FC" w:rsidRPr="00335E85" w:rsidRDefault="00380CBC" w:rsidP="00EB37FC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Style w:val="Gvdemetni0"/>
                <w:rFonts w:ascii="Times New Roman" w:eastAsiaTheme="minorHAnsi" w:hAnsi="Times New Roman" w:cs="Times New Roman"/>
                <w:kern w:val="0"/>
                <w:sz w:val="24"/>
                <w:szCs w:val="24"/>
                <w:shd w:val="clear" w:color="auto" w:fill="auto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eksudanın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miktarına bağlı olarak, yara üzerinde 7 (yedi) güne kadar 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kalabilmelidir.</w:t>
            </w:r>
          </w:p>
          <w:p w:rsidR="0038792A" w:rsidRPr="00D23F8B" w:rsidRDefault="00EB37FC" w:rsidP="00B92C34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A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yarayı nemli tutmalı, sağlam dokuyu </w:t>
            </w:r>
            <w:proofErr w:type="spellStart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masere</w:t>
            </w:r>
            <w:proofErr w:type="spellEnd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etmemelidir.</w:t>
            </w:r>
            <w:bookmarkStart w:id="0" w:name="_GoBack"/>
            <w:bookmarkEnd w:id="0"/>
          </w:p>
        </w:tc>
      </w:tr>
      <w:tr w:rsidR="0038792A" w:rsidRPr="00335E85" w:rsidTr="00AA4436">
        <w:trPr>
          <w:trHeight w:val="1025"/>
        </w:trPr>
        <w:tc>
          <w:tcPr>
            <w:tcW w:w="1537" w:type="dxa"/>
          </w:tcPr>
          <w:p w:rsidR="0038792A" w:rsidRPr="00335E85" w:rsidRDefault="0038792A" w:rsidP="00AA44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885CD3" w:rsidRPr="00335E85" w:rsidRDefault="00885CD3" w:rsidP="00885CD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1D69F1" w:rsidRPr="00D23F8B" w:rsidRDefault="00885CD3" w:rsidP="00D23F8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3B7666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:rsidR="0038792A" w:rsidRPr="00335E85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335E85" w:rsidSect="00C81C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6A" w:rsidRDefault="00935A6A" w:rsidP="0038792A">
      <w:pPr>
        <w:spacing w:after="0" w:line="240" w:lineRule="auto"/>
      </w:pPr>
      <w:r>
        <w:separator/>
      </w:r>
    </w:p>
  </w:endnote>
  <w:endnote w:type="continuationSeparator" w:id="0">
    <w:p w:rsidR="00935A6A" w:rsidRDefault="00935A6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6A" w:rsidRDefault="00935A6A" w:rsidP="0038792A">
      <w:pPr>
        <w:spacing w:after="0" w:line="240" w:lineRule="auto"/>
      </w:pPr>
      <w:r>
        <w:separator/>
      </w:r>
    </w:p>
  </w:footnote>
  <w:footnote w:type="continuationSeparator" w:id="0">
    <w:p w:rsidR="00935A6A" w:rsidRDefault="00935A6A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ADD" w:rsidRPr="00A112A3" w:rsidRDefault="00C56ADD" w:rsidP="00C56ADD">
    <w:pPr>
      <w:pStyle w:val="GvdeMetni1"/>
      <w:spacing w:before="120" w:after="120" w:line="360" w:lineRule="auto"/>
      <w:ind w:right="283"/>
      <w:rPr>
        <w:b/>
      </w:rPr>
    </w:pPr>
    <w:r w:rsidRPr="00A112A3">
      <w:rPr>
        <w:b/>
      </w:rPr>
      <w:t>SMT1390</w:t>
    </w:r>
    <w:r w:rsidR="00885CD3">
      <w:rPr>
        <w:b/>
      </w:rPr>
      <w:t xml:space="preserve"> </w:t>
    </w:r>
    <w:r w:rsidRPr="00A112A3">
      <w:rPr>
        <w:b/>
      </w:rPr>
      <w:t>YARA ÖRTÜSÜ, KÖPÜK/SÜNGER, YAPIŞKANLI</w:t>
    </w:r>
  </w:p>
  <w:p w:rsidR="00C56ADD" w:rsidRDefault="00C56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110104"/>
    <w:multiLevelType w:val="singleLevel"/>
    <w:tmpl w:val="AE1101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64B8"/>
    <w:multiLevelType w:val="hybridMultilevel"/>
    <w:tmpl w:val="5562FDC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F4DA"/>
    <w:multiLevelType w:val="singleLevel"/>
    <w:tmpl w:val="5538F4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5902B77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C26EB"/>
    <w:multiLevelType w:val="hybridMultilevel"/>
    <w:tmpl w:val="6E120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24C54"/>
    <w:rsid w:val="000314C4"/>
    <w:rsid w:val="000633B5"/>
    <w:rsid w:val="000E2490"/>
    <w:rsid w:val="001D69F1"/>
    <w:rsid w:val="002A3BCA"/>
    <w:rsid w:val="003136C5"/>
    <w:rsid w:val="003304A0"/>
    <w:rsid w:val="00335E85"/>
    <w:rsid w:val="00337ABB"/>
    <w:rsid w:val="003547CC"/>
    <w:rsid w:val="00380CBC"/>
    <w:rsid w:val="0038792A"/>
    <w:rsid w:val="003A25E2"/>
    <w:rsid w:val="003B75E6"/>
    <w:rsid w:val="003B7666"/>
    <w:rsid w:val="003E66D2"/>
    <w:rsid w:val="003F0DAF"/>
    <w:rsid w:val="00434238"/>
    <w:rsid w:val="004A3358"/>
    <w:rsid w:val="004D1DD7"/>
    <w:rsid w:val="00550694"/>
    <w:rsid w:val="00620301"/>
    <w:rsid w:val="00645A09"/>
    <w:rsid w:val="006F1EA7"/>
    <w:rsid w:val="00757D0C"/>
    <w:rsid w:val="007A7EBD"/>
    <w:rsid w:val="007B63B5"/>
    <w:rsid w:val="007C0CA8"/>
    <w:rsid w:val="00885CD3"/>
    <w:rsid w:val="008F2137"/>
    <w:rsid w:val="00925CDF"/>
    <w:rsid w:val="00935A6A"/>
    <w:rsid w:val="0096546C"/>
    <w:rsid w:val="009C61C5"/>
    <w:rsid w:val="009D1709"/>
    <w:rsid w:val="00A112A3"/>
    <w:rsid w:val="00A11C09"/>
    <w:rsid w:val="00A538E1"/>
    <w:rsid w:val="00AA4436"/>
    <w:rsid w:val="00B6279D"/>
    <w:rsid w:val="00B858C2"/>
    <w:rsid w:val="00B92C34"/>
    <w:rsid w:val="00C0285B"/>
    <w:rsid w:val="00C02FD8"/>
    <w:rsid w:val="00C56ADD"/>
    <w:rsid w:val="00C81C05"/>
    <w:rsid w:val="00CA47FC"/>
    <w:rsid w:val="00CD6693"/>
    <w:rsid w:val="00D23F8B"/>
    <w:rsid w:val="00D2752D"/>
    <w:rsid w:val="00D66BB4"/>
    <w:rsid w:val="00D747AB"/>
    <w:rsid w:val="00DF7E83"/>
    <w:rsid w:val="00E3230A"/>
    <w:rsid w:val="00E430A8"/>
    <w:rsid w:val="00E65005"/>
    <w:rsid w:val="00EB37FC"/>
    <w:rsid w:val="00E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62134"/>
  <w15:docId w15:val="{3F5669A9-512B-4044-AEDC-D8682F5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qFormat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GvdeMetni1">
    <w:name w:val="Body Text"/>
    <w:basedOn w:val="Normal"/>
    <w:link w:val="GvdeMetniChar"/>
    <w:uiPriority w:val="1"/>
    <w:qFormat/>
    <w:rsid w:val="001D6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1D69F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0">
    <w:name w:val="Gövde metni_"/>
    <w:basedOn w:val="VarsaylanParagrafYazTipi"/>
    <w:link w:val="Gvdemetni"/>
    <w:qFormat/>
    <w:rsid w:val="00A11C09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paragraph" w:customStyle="1" w:styleId="Gvdemetni10">
    <w:name w:val="Gövde metni1"/>
    <w:basedOn w:val="Normal"/>
    <w:uiPriority w:val="99"/>
    <w:rsid w:val="00A11C09"/>
    <w:pPr>
      <w:widowControl w:val="0"/>
      <w:shd w:val="clear" w:color="auto" w:fill="FFFFFF"/>
      <w:spacing w:after="0" w:line="240" w:lineRule="atLeast"/>
      <w:ind w:hanging="380"/>
    </w:pPr>
    <w:rPr>
      <w:rFonts w:ascii="Times New Roman" w:eastAsia="Times New Roman" w:hAnsi="Times New Roman" w:cs="Times New Roman"/>
      <w:spacing w:val="-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2024-11-12T12:11:00Z</dcterms:created>
  <dcterms:modified xsi:type="dcterms:W3CDTF">2024-11-26T08:04:00Z</dcterms:modified>
</cp:coreProperties>
</file>