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8065"/>
      </w:tblGrid>
      <w:tr w:rsidR="0038792A" w:rsidRPr="002D21E7" w14:paraId="550930C5" w14:textId="77777777" w:rsidTr="00306DB3">
        <w:trPr>
          <w:trHeight w:val="1175"/>
        </w:trPr>
        <w:tc>
          <w:tcPr>
            <w:tcW w:w="1569" w:type="dxa"/>
          </w:tcPr>
          <w:p w14:paraId="1CBC7F1C" w14:textId="77777777" w:rsidR="00306DB3" w:rsidRPr="002D21E7" w:rsidRDefault="0038792A" w:rsidP="00306DB3">
            <w:pPr>
              <w:pStyle w:val="Balk2"/>
              <w:spacing w:before="120" w:after="120" w:line="360" w:lineRule="auto"/>
              <w:ind w:right="-859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</w:t>
            </w:r>
          </w:p>
          <w:p w14:paraId="06652041" w14:textId="77777777" w:rsidR="0038792A" w:rsidRPr="002D21E7" w:rsidRDefault="0038792A" w:rsidP="00306DB3">
            <w:pPr>
              <w:pStyle w:val="Balk2"/>
              <w:spacing w:before="120" w:after="120" w:line="360" w:lineRule="auto"/>
              <w:ind w:right="-859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İşlevi: </w:t>
            </w:r>
          </w:p>
        </w:tc>
        <w:tc>
          <w:tcPr>
            <w:tcW w:w="8065" w:type="dxa"/>
            <w:shd w:val="clear" w:color="auto" w:fill="auto"/>
          </w:tcPr>
          <w:p w14:paraId="7093113C" w14:textId="63AB86E3" w:rsidR="0038792A" w:rsidRPr="002D21E7" w:rsidRDefault="006665E8" w:rsidP="00306DB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left="357" w:right="357" w:hanging="35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Ürün, I-IV derece basınç </w:t>
            </w:r>
            <w:r w:rsidR="005E68E1">
              <w:rPr>
                <w:rFonts w:ascii="Times New Roman" w:hAnsi="Times New Roman" w:cs="Times New Roman"/>
                <w:sz w:val="24"/>
                <w:szCs w:val="24"/>
              </w:rPr>
              <w:t>yaralanmaları</w:t>
            </w:r>
            <w:r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1E7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ülserler, 2. derece yanıklar veya </w:t>
            </w:r>
            <w:proofErr w:type="spellStart"/>
            <w:r w:rsidRPr="002D21E7">
              <w:rPr>
                <w:rFonts w:ascii="Times New Roman" w:hAnsi="Times New Roman" w:cs="Times New Roman"/>
                <w:sz w:val="24"/>
                <w:szCs w:val="24"/>
              </w:rPr>
              <w:t>donör</w:t>
            </w:r>
            <w:proofErr w:type="spellEnd"/>
            <w:r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bölgeleri gibi orta derecede veya çok derin olan, </w:t>
            </w:r>
            <w:proofErr w:type="spellStart"/>
            <w:r w:rsidRPr="002D21E7">
              <w:rPr>
                <w:rFonts w:ascii="Times New Roman" w:hAnsi="Times New Roman" w:cs="Times New Roman"/>
                <w:sz w:val="24"/>
                <w:szCs w:val="24"/>
              </w:rPr>
              <w:t>enfekte</w:t>
            </w:r>
            <w:proofErr w:type="spellEnd"/>
            <w:r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olan veya olmayan yaralar için kullanılmalıdır.</w:t>
            </w:r>
            <w:r w:rsidR="006F1EA7"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>Y</w:t>
            </w:r>
            <w:r w:rsidR="002533A8"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ara üzerindeki </w:t>
            </w:r>
            <w:proofErr w:type="spellStart"/>
            <w:r w:rsidR="002533A8"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>eksudanın</w:t>
            </w:r>
            <w:proofErr w:type="spellEnd"/>
            <w:r w:rsidR="002533A8"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emilmesi ve yara etrafındaki </w:t>
            </w:r>
            <w:proofErr w:type="spellStart"/>
            <w:r w:rsidR="002533A8"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>maserasyonu</w:t>
            </w:r>
            <w:proofErr w:type="spellEnd"/>
            <w:r w:rsidR="002533A8"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engellemek için </w:t>
            </w:r>
            <w:r w:rsidR="006F1EA7" w:rsidRPr="002D21E7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2D21E7" w14:paraId="1B7E311D" w14:textId="77777777" w:rsidTr="00306DB3">
        <w:trPr>
          <w:trHeight w:val="1157"/>
        </w:trPr>
        <w:tc>
          <w:tcPr>
            <w:tcW w:w="1569" w:type="dxa"/>
          </w:tcPr>
          <w:p w14:paraId="5CA0C6B6" w14:textId="77777777" w:rsidR="0038792A" w:rsidRPr="002D21E7" w:rsidRDefault="0038792A" w:rsidP="00306DB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065" w:type="dxa"/>
            <w:shd w:val="clear" w:color="auto" w:fill="auto"/>
          </w:tcPr>
          <w:p w14:paraId="163E3084" w14:textId="77777777" w:rsidR="0043023C" w:rsidRPr="002D21E7" w:rsidRDefault="00A945F6" w:rsidP="0043023C">
            <w:pPr>
              <w:pStyle w:val="ListeParagraf"/>
              <w:numPr>
                <w:ilvl w:val="0"/>
                <w:numId w:val="3"/>
              </w:numPr>
              <w:tabs>
                <w:tab w:val="left" w:pos="425"/>
              </w:tabs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sz w:val="24"/>
                <w:szCs w:val="24"/>
              </w:rPr>
              <w:t>Ürünün muhtelif   boy ve uzunlukları olmalıdır.</w:t>
            </w:r>
          </w:p>
          <w:p w14:paraId="6A77D73C" w14:textId="109098AF" w:rsidR="00A945F6" w:rsidRPr="002D21E7" w:rsidRDefault="00A945F6" w:rsidP="0043023C">
            <w:pPr>
              <w:pStyle w:val="ListeParagraf"/>
              <w:numPr>
                <w:ilvl w:val="0"/>
                <w:numId w:val="3"/>
              </w:numPr>
              <w:tabs>
                <w:tab w:val="left" w:pos="425"/>
              </w:tabs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  <w:p w14:paraId="17E73237" w14:textId="5EEFA135" w:rsidR="0038792A" w:rsidRPr="002D21E7" w:rsidRDefault="0038792A" w:rsidP="008C26D4">
            <w:pPr>
              <w:pStyle w:val="ListeParagraf"/>
              <w:tabs>
                <w:tab w:val="left" w:pos="284"/>
                <w:tab w:val="left" w:pos="426"/>
              </w:tabs>
              <w:spacing w:before="120" w:after="120" w:line="360" w:lineRule="auto"/>
              <w:ind w:left="357"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92A" w:rsidRPr="002D21E7" w14:paraId="032C185D" w14:textId="77777777" w:rsidTr="00306DB3">
        <w:trPr>
          <w:trHeight w:val="1700"/>
        </w:trPr>
        <w:tc>
          <w:tcPr>
            <w:tcW w:w="1569" w:type="dxa"/>
          </w:tcPr>
          <w:p w14:paraId="532EE3CD" w14:textId="77777777" w:rsidR="0038792A" w:rsidRPr="002D21E7" w:rsidRDefault="0038792A" w:rsidP="00306DB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8E60723" w14:textId="77777777" w:rsidR="0038792A" w:rsidRPr="002D21E7" w:rsidRDefault="0038792A" w:rsidP="00306DB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shd w:val="clear" w:color="auto" w:fill="auto"/>
          </w:tcPr>
          <w:p w14:paraId="74E09259" w14:textId="77777777" w:rsidR="008C26D4" w:rsidRPr="002D21E7" w:rsidRDefault="00E34C9D" w:rsidP="008C26D4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 w:rsidRPr="002D21E7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En az 2 katmandan oluşmalıdır</w:t>
            </w:r>
            <w:r w:rsidR="008C26D4" w:rsidRPr="002D21E7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8C26D4" w:rsidRPr="002D21E7">
              <w:rPr>
                <w:sz w:val="24"/>
                <w:szCs w:val="24"/>
              </w:rPr>
              <w:t xml:space="preserve"> </w:t>
            </w:r>
          </w:p>
          <w:p w14:paraId="58224E10" w14:textId="270653EF" w:rsidR="00BF2B31" w:rsidRPr="00BF2B31" w:rsidRDefault="00BF2B31" w:rsidP="00D6721F">
            <w:pPr>
              <w:pStyle w:val="Gvdemetni1"/>
              <w:numPr>
                <w:ilvl w:val="0"/>
                <w:numId w:val="12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irritan</w:t>
            </w:r>
            <w:proofErr w:type="spellEnd"/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olmayan bir yarayla temas tabakası,</w:t>
            </w:r>
          </w:p>
          <w:p w14:paraId="1600545E" w14:textId="38CEAE26" w:rsidR="00D6721F" w:rsidRPr="00D6721F" w:rsidRDefault="002D21E7" w:rsidP="00D6721F">
            <w:pPr>
              <w:pStyle w:val="Gvdemetni1"/>
              <w:numPr>
                <w:ilvl w:val="0"/>
                <w:numId w:val="12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 w:rsidRPr="00D6721F">
              <w:rPr>
                <w:sz w:val="24"/>
                <w:szCs w:val="24"/>
              </w:rPr>
              <w:t xml:space="preserve">İyonik gümüş ve/veya kalsiyum </w:t>
            </w:r>
            <w:proofErr w:type="spellStart"/>
            <w:r w:rsidRPr="00D6721F">
              <w:rPr>
                <w:sz w:val="24"/>
                <w:szCs w:val="24"/>
              </w:rPr>
              <w:t>aljinat</w:t>
            </w:r>
            <w:proofErr w:type="spellEnd"/>
            <w:r w:rsidRPr="00D6721F">
              <w:rPr>
                <w:sz w:val="24"/>
                <w:szCs w:val="24"/>
              </w:rPr>
              <w:t xml:space="preserve"> karışımından</w:t>
            </w:r>
            <w:r w:rsidR="00D6721F" w:rsidRPr="00D6721F">
              <w:rPr>
                <w:sz w:val="24"/>
                <w:szCs w:val="24"/>
              </w:rPr>
              <w:t xml:space="preserve"> oluşan</w:t>
            </w:r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, emici </w:t>
            </w:r>
            <w:proofErr w:type="spellStart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hidroselüler</w:t>
            </w:r>
            <w:proofErr w:type="spellEnd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ped</w:t>
            </w:r>
            <w:proofErr w:type="spellEnd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veya poliüretan </w:t>
            </w:r>
            <w:proofErr w:type="spellStart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ped</w:t>
            </w:r>
            <w:proofErr w:type="spellEnd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tabaka</w:t>
            </w:r>
            <w:r w:rsidR="00BF2B31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14:paraId="5F338659" w14:textId="52BDF479" w:rsidR="00F356AB" w:rsidRPr="00D6721F" w:rsidRDefault="00F356AB" w:rsidP="008C26D4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26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 eşit oranda etki sağlaması için pansumanda salınan gümüş en az 40 </w:t>
            </w:r>
            <w:proofErr w:type="spellStart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ppm</w:t>
            </w:r>
            <w:proofErr w:type="spellEnd"/>
            <w:r w:rsidRPr="00D6721F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olmalıdır.</w:t>
            </w:r>
          </w:p>
          <w:p w14:paraId="3BACB77C" w14:textId="71187439" w:rsidR="006225DF" w:rsidRPr="002D21E7" w:rsidRDefault="00C115AB" w:rsidP="008C26D4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360" w:lineRule="auto"/>
              <w:ind w:left="357" w:righ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t>rün b</w:t>
            </w:r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irçok yara patojenlerine karşı hızlı ve kalıcı etkiye sahip olmalıdır.  </w:t>
            </w:r>
          </w:p>
          <w:p w14:paraId="0207D7FA" w14:textId="0696BFC7" w:rsidR="002D21E7" w:rsidRPr="002D21E7" w:rsidRDefault="00C115AB" w:rsidP="002D21E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 </w:t>
            </w:r>
            <w:r w:rsidR="006225DF" w:rsidRPr="002D21E7">
              <w:rPr>
                <w:sz w:val="24"/>
                <w:szCs w:val="24"/>
              </w:rPr>
              <w:t>bakter</w:t>
            </w:r>
            <w:r w:rsidR="00306DB3" w:rsidRPr="002D21E7">
              <w:rPr>
                <w:sz w:val="24"/>
                <w:szCs w:val="24"/>
              </w:rPr>
              <w:t>iy</w:t>
            </w:r>
            <w:r w:rsidR="006225DF" w:rsidRPr="002D21E7">
              <w:rPr>
                <w:sz w:val="24"/>
                <w:szCs w:val="24"/>
              </w:rPr>
              <w:t>el direnci azaltmalı ve bakter</w:t>
            </w:r>
            <w:r w:rsidR="00306DB3" w:rsidRPr="002D21E7">
              <w:rPr>
                <w:sz w:val="24"/>
                <w:szCs w:val="24"/>
              </w:rPr>
              <w:t>iy</w:t>
            </w:r>
            <w:r w:rsidR="006225DF" w:rsidRPr="002D21E7">
              <w:rPr>
                <w:sz w:val="24"/>
                <w:szCs w:val="24"/>
              </w:rPr>
              <w:t>el hücre bölünmesini engellemelidir.</w:t>
            </w:r>
            <w:r w:rsidR="002D21E7" w:rsidRPr="002D21E7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1D6F7B59" w14:textId="7D1DF9DF" w:rsidR="002D21E7" w:rsidRPr="002D21E7" w:rsidRDefault="002D21E7" w:rsidP="002D21E7">
            <w:pPr>
              <w:pStyle w:val="Gvdemetni1"/>
              <w:numPr>
                <w:ilvl w:val="0"/>
                <w:numId w:val="3"/>
              </w:numPr>
              <w:shd w:val="clear" w:color="auto" w:fill="auto"/>
              <w:tabs>
                <w:tab w:val="left" w:pos="533"/>
              </w:tabs>
              <w:spacing w:before="120" w:after="120" w:line="360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D21E7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2D21E7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eksudanın</w:t>
            </w:r>
            <w:proofErr w:type="spellEnd"/>
            <w:r w:rsidRPr="002D21E7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miktarına bağlı olarak, yara üzerinde 7 (yedi) güne kadar kalabilmelidir.</w:t>
            </w:r>
          </w:p>
          <w:p w14:paraId="39F69FA7" w14:textId="50A43BDD" w:rsidR="006225DF" w:rsidRPr="002D21E7" w:rsidRDefault="001A2C73" w:rsidP="002D21E7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360" w:lineRule="auto"/>
              <w:ind w:left="357" w:righ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>, yarayla temas halinde kendiliğinden aktive olan su bağları içermeli</w:t>
            </w:r>
            <w:r w:rsidR="00195CE7">
              <w:rPr>
                <w:rFonts w:ascii="Times New Roman" w:hAnsi="Times New Roman" w:cs="Times New Roman"/>
                <w:sz w:val="24"/>
                <w:szCs w:val="24"/>
              </w:rPr>
              <w:t xml:space="preserve"> ve nemli bir ortam </w:t>
            </w:r>
            <w:proofErr w:type="spellStart"/>
            <w:proofErr w:type="gramStart"/>
            <w:r w:rsidR="00195CE7">
              <w:rPr>
                <w:rFonts w:ascii="Times New Roman" w:hAnsi="Times New Roman" w:cs="Times New Roman"/>
                <w:sz w:val="24"/>
                <w:szCs w:val="24"/>
              </w:rPr>
              <w:t>oluşturmalıdır.</w:t>
            </w:r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>Yara</w:t>
            </w:r>
            <w:proofErr w:type="spellEnd"/>
            <w:proofErr w:type="gramEnd"/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örtüsünü aktive etmek için ıslatmaya gerek olmamalıdır. </w:t>
            </w:r>
          </w:p>
          <w:p w14:paraId="45579678" w14:textId="644C7AE9" w:rsidR="006225DF" w:rsidRPr="002D21E7" w:rsidRDefault="001A2C73" w:rsidP="002D21E7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360" w:lineRule="auto"/>
              <w:ind w:left="357" w:righ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>emiciliğini arttırmak için ikinci yara örtüsüne ihtiyaç duyulmamalıdır.</w:t>
            </w:r>
          </w:p>
          <w:p w14:paraId="760CC0E9" w14:textId="77777777" w:rsidR="008C26D4" w:rsidRPr="002D21E7" w:rsidRDefault="006225DF" w:rsidP="002D21E7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360" w:lineRule="auto"/>
              <w:ind w:left="357" w:righ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Gümüş iyonları, yara örtüsünün yüzeyine eşit miktarda iyonik durumda dağılmış olmalıdır.</w:t>
            </w:r>
            <w:r w:rsidR="008C26D4"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45A67" w14:textId="6F2EF02A" w:rsidR="006225DF" w:rsidRPr="002D21E7" w:rsidRDefault="008C26D4" w:rsidP="002D21E7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360" w:lineRule="auto"/>
              <w:ind w:left="357" w:righ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sz w:val="24"/>
                <w:szCs w:val="24"/>
              </w:rPr>
              <w:t>Ürün cildi tahriş etmemeli yaraya zarar vermeden çıkarılabilmeli ve iz bırakmamalıdır</w:t>
            </w:r>
            <w:r w:rsidR="00195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7B7A0" w14:textId="1B88DC6D" w:rsidR="006225DF" w:rsidRPr="002D21E7" w:rsidRDefault="00350CC5" w:rsidP="002D21E7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360" w:lineRule="auto"/>
              <w:ind w:left="357" w:righ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>oliüretan köpük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kısmı</w:t>
            </w:r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>eksüdanın</w:t>
            </w:r>
            <w:proofErr w:type="spellEnd"/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mükemmel emilmesine yardımcı olmalı ve yara etrafında </w:t>
            </w:r>
            <w:proofErr w:type="spellStart"/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>maserasyonu</w:t>
            </w:r>
            <w:proofErr w:type="spellEnd"/>
            <w:r w:rsidR="006225DF"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engellemelidir.</w:t>
            </w:r>
          </w:p>
          <w:p w14:paraId="23EE2C74" w14:textId="3151CC1B" w:rsidR="0038792A" w:rsidRPr="002D21E7" w:rsidRDefault="008C26D4" w:rsidP="002D21E7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360" w:lineRule="auto"/>
              <w:ind w:left="357" w:righ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r w:rsidR="00DA3A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bookmarkStart w:id="0" w:name="_GoBack"/>
            <w:bookmarkEnd w:id="0"/>
            <w:r w:rsidRPr="002D21E7">
              <w:rPr>
                <w:rFonts w:ascii="Times New Roman" w:hAnsi="Times New Roman" w:cs="Times New Roman"/>
                <w:sz w:val="24"/>
                <w:szCs w:val="24"/>
              </w:rPr>
              <w:t xml:space="preserve"> içermemelidir.  </w:t>
            </w:r>
          </w:p>
        </w:tc>
      </w:tr>
      <w:tr w:rsidR="0038792A" w:rsidRPr="002D21E7" w14:paraId="69DB4CF0" w14:textId="77777777" w:rsidTr="00306DB3">
        <w:trPr>
          <w:trHeight w:val="1062"/>
        </w:trPr>
        <w:tc>
          <w:tcPr>
            <w:tcW w:w="1569" w:type="dxa"/>
          </w:tcPr>
          <w:p w14:paraId="4DAF606E" w14:textId="77777777" w:rsidR="0038792A" w:rsidRPr="002D21E7" w:rsidRDefault="0038792A" w:rsidP="00306DB3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065" w:type="dxa"/>
            <w:shd w:val="clear" w:color="auto" w:fill="auto"/>
          </w:tcPr>
          <w:p w14:paraId="30C1E7BB" w14:textId="77777777" w:rsidR="008C26D4" w:rsidRPr="002D21E7" w:rsidRDefault="008C26D4" w:rsidP="002D21E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D21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steril paketlenmiş ve tek kullanımlık olmalıdır</w:t>
            </w:r>
          </w:p>
          <w:p w14:paraId="5C134217" w14:textId="40E44315" w:rsidR="0038792A" w:rsidRPr="002D21E7" w:rsidRDefault="008C26D4" w:rsidP="002D21E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35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D21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orijinal ambalajı üzerinde U</w:t>
            </w:r>
            <w:r w:rsidR="005770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BB</w:t>
            </w:r>
            <w:r w:rsidRPr="002D21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ve LOT bilgisi bulunmalıdır</w:t>
            </w:r>
            <w:r w:rsidR="00914F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D237233" w14:textId="77777777" w:rsidR="00DF7E83" w:rsidRPr="002D21E7" w:rsidRDefault="00DF7E83" w:rsidP="00306D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E0CE4A" w14:textId="77777777" w:rsidR="0038792A" w:rsidRPr="002D21E7" w:rsidRDefault="0038792A" w:rsidP="00DF7E8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2D21E7" w:rsidSect="00306DB3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EC33" w14:textId="77777777" w:rsidR="00C008CE" w:rsidRDefault="00C008CE" w:rsidP="0038792A">
      <w:pPr>
        <w:spacing w:after="0" w:line="240" w:lineRule="auto"/>
      </w:pPr>
      <w:r>
        <w:separator/>
      </w:r>
    </w:p>
  </w:endnote>
  <w:endnote w:type="continuationSeparator" w:id="0">
    <w:p w14:paraId="326730A8" w14:textId="77777777" w:rsidR="00C008CE" w:rsidRDefault="00C008C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70BA4" w14:textId="77777777" w:rsidR="00C008CE" w:rsidRDefault="00C008CE" w:rsidP="0038792A">
      <w:pPr>
        <w:spacing w:after="0" w:line="240" w:lineRule="auto"/>
      </w:pPr>
      <w:r>
        <w:separator/>
      </w:r>
    </w:p>
  </w:footnote>
  <w:footnote w:type="continuationSeparator" w:id="0">
    <w:p w14:paraId="135FECFE" w14:textId="77777777" w:rsidR="00C008CE" w:rsidRDefault="00C008CE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917A" w14:textId="799812A3" w:rsidR="00306DB3" w:rsidRPr="00745E9F" w:rsidRDefault="00306DB3" w:rsidP="00306DB3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745E9F">
      <w:rPr>
        <w:rFonts w:ascii="Times New Roman" w:hAnsi="Times New Roman" w:cs="Times New Roman"/>
        <w:b/>
        <w:bCs/>
        <w:sz w:val="24"/>
        <w:szCs w:val="24"/>
      </w:rPr>
      <w:t>SMT1385 YARA ÖRTÜSÜ KÖPÜK/SÜNGER, GÜMÜŞLÜ</w:t>
    </w:r>
    <w:r w:rsidR="006665E8">
      <w:rPr>
        <w:rFonts w:ascii="Times New Roman" w:hAnsi="Times New Roman" w:cs="Times New Roman"/>
        <w:b/>
        <w:bCs/>
        <w:sz w:val="24"/>
        <w:szCs w:val="24"/>
      </w:rPr>
      <w:t>,</w:t>
    </w:r>
    <w:r w:rsidR="005E6B3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6665E8">
      <w:rPr>
        <w:rFonts w:ascii="Times New Roman" w:hAnsi="Times New Roman" w:cs="Times New Roman"/>
        <w:b/>
        <w:bCs/>
        <w:sz w:val="24"/>
        <w:szCs w:val="24"/>
      </w:rPr>
      <w:t>YAPIŞKANSIZ</w:t>
    </w:r>
  </w:p>
  <w:p w14:paraId="5EB4DDD8" w14:textId="77777777" w:rsidR="00306DB3" w:rsidRPr="003A25E2" w:rsidRDefault="00306DB3" w:rsidP="00306DB3">
    <w:pPr>
      <w:ind w:right="567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5BAF904B" w14:textId="77777777" w:rsidR="00306DB3" w:rsidRDefault="00306D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F9F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284" w:hanging="360"/>
      </w:p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2882C7A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64B8"/>
    <w:multiLevelType w:val="hybridMultilevel"/>
    <w:tmpl w:val="5562FDC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B7B67"/>
    <w:multiLevelType w:val="singleLevel"/>
    <w:tmpl w:val="47DB7B6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678B"/>
    <w:multiLevelType w:val="hybridMultilevel"/>
    <w:tmpl w:val="1820C676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F55027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174107"/>
    <w:rsid w:val="00195CE7"/>
    <w:rsid w:val="001A2C73"/>
    <w:rsid w:val="00227F95"/>
    <w:rsid w:val="002533A8"/>
    <w:rsid w:val="002651D2"/>
    <w:rsid w:val="002D21E7"/>
    <w:rsid w:val="00306DB3"/>
    <w:rsid w:val="003136C5"/>
    <w:rsid w:val="00326F89"/>
    <w:rsid w:val="00350CC5"/>
    <w:rsid w:val="0038792A"/>
    <w:rsid w:val="003A25E2"/>
    <w:rsid w:val="003C64FF"/>
    <w:rsid w:val="0043023C"/>
    <w:rsid w:val="00434238"/>
    <w:rsid w:val="00577017"/>
    <w:rsid w:val="005E68E1"/>
    <w:rsid w:val="005E6B31"/>
    <w:rsid w:val="006225DF"/>
    <w:rsid w:val="006665E8"/>
    <w:rsid w:val="006B5AE3"/>
    <w:rsid w:val="006F1EA7"/>
    <w:rsid w:val="00745E9F"/>
    <w:rsid w:val="007A230D"/>
    <w:rsid w:val="008C26D4"/>
    <w:rsid w:val="00914F23"/>
    <w:rsid w:val="00921833"/>
    <w:rsid w:val="0096546C"/>
    <w:rsid w:val="009F303E"/>
    <w:rsid w:val="00A945F6"/>
    <w:rsid w:val="00AE0143"/>
    <w:rsid w:val="00B10FA3"/>
    <w:rsid w:val="00BF2B31"/>
    <w:rsid w:val="00C008CE"/>
    <w:rsid w:val="00C115AB"/>
    <w:rsid w:val="00C45606"/>
    <w:rsid w:val="00C52AE7"/>
    <w:rsid w:val="00CD6693"/>
    <w:rsid w:val="00D6721F"/>
    <w:rsid w:val="00D949C8"/>
    <w:rsid w:val="00DA3A19"/>
    <w:rsid w:val="00DF7E83"/>
    <w:rsid w:val="00E3230A"/>
    <w:rsid w:val="00E34C9D"/>
    <w:rsid w:val="00E77EDF"/>
    <w:rsid w:val="00EF6759"/>
    <w:rsid w:val="00F04B8C"/>
    <w:rsid w:val="00F356AB"/>
    <w:rsid w:val="00FE40FD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90B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qFormat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Gvdemetni1">
    <w:name w:val="Gövde metni1"/>
    <w:basedOn w:val="Normal"/>
    <w:uiPriority w:val="99"/>
    <w:rsid w:val="00A945F6"/>
    <w:pPr>
      <w:widowControl w:val="0"/>
      <w:shd w:val="clear" w:color="auto" w:fill="FFFFFF"/>
      <w:spacing w:after="0" w:line="240" w:lineRule="atLeast"/>
      <w:ind w:hanging="380"/>
    </w:pPr>
    <w:rPr>
      <w:rFonts w:ascii="Times New Roman" w:eastAsia="Times New Roman" w:hAnsi="Times New Roman" w:cs="Times New Roman"/>
      <w:spacing w:val="-4"/>
      <w:lang w:eastAsia="tr-TR"/>
    </w:rPr>
  </w:style>
  <w:style w:type="character" w:customStyle="1" w:styleId="Gvdemetni0">
    <w:name w:val="Gövde metni_"/>
    <w:basedOn w:val="VarsaylanParagrafYazTipi"/>
    <w:link w:val="Gvdemetni"/>
    <w:qFormat/>
    <w:rsid w:val="00F356AB"/>
    <w:rPr>
      <w:rFonts w:ascii="Segoe UI" w:eastAsia="Segoe UI" w:hAnsi="Segoe UI" w:cs="Segoe UI"/>
      <w:kern w:val="3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5</cp:revision>
  <dcterms:created xsi:type="dcterms:W3CDTF">2024-11-12T12:08:00Z</dcterms:created>
  <dcterms:modified xsi:type="dcterms:W3CDTF">2024-11-26T07:25:00Z</dcterms:modified>
</cp:coreProperties>
</file>