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0CFC" w14:textId="77777777" w:rsidR="009C23FA" w:rsidRPr="00694806" w:rsidRDefault="009B5559" w:rsidP="00010E6B">
      <w:pPr>
        <w:pStyle w:val="Balk1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94806">
        <w:rPr>
          <w:rFonts w:ascii="Times New Roman" w:hAnsi="Times New Roman" w:cs="Times New Roman"/>
          <w:color w:val="auto"/>
          <w:sz w:val="24"/>
          <w:szCs w:val="24"/>
          <w:u w:val="single"/>
        </w:rPr>
        <w:t>SMT1281-</w:t>
      </w:r>
      <w:r w:rsidR="00694806" w:rsidRPr="00694806">
        <w:rPr>
          <w:rFonts w:ascii="Times New Roman" w:hAnsi="Times New Roman" w:cs="Times New Roman"/>
          <w:color w:val="343434"/>
          <w:sz w:val="24"/>
          <w:szCs w:val="24"/>
          <w:u w:val="single"/>
          <w:shd w:val="clear" w:color="auto" w:fill="FFFFFF"/>
        </w:rPr>
        <w:t xml:space="preserve"> SEÇİCİ PLAZMA DEĞİŞİMİ (SPD) MEMBRANI, KARACİĞER DESTEK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1690"/>
        <w:gridCol w:w="8165"/>
      </w:tblGrid>
      <w:tr w:rsidR="00927B9C" w:rsidRPr="00010E6B" w14:paraId="4FD397DA" w14:textId="77777777" w:rsidTr="005F5D9F">
        <w:trPr>
          <w:trHeight w:val="1027"/>
        </w:trPr>
        <w:tc>
          <w:tcPr>
            <w:tcW w:w="1690" w:type="dxa"/>
          </w:tcPr>
          <w:p w14:paraId="24D4F5CB" w14:textId="77777777" w:rsidR="00927B9C" w:rsidRPr="00010E6B" w:rsidRDefault="00927B9C" w:rsidP="00010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165" w:type="dxa"/>
          </w:tcPr>
          <w:p w14:paraId="18E622D9" w14:textId="77777777" w:rsidR="00927B9C" w:rsidRPr="00010E6B" w:rsidRDefault="009B5559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10E6B">
              <w:rPr>
                <w:rFonts w:ascii="Times New Roman" w:hAnsi="Times New Roman" w:cs="Times New Roman"/>
                <w:sz w:val="24"/>
                <w:szCs w:val="24"/>
              </w:rPr>
              <w:t>Membranlar genellikle karaciğer yetmezliklerinde (mantar &amp; ilaç intoksikasyonları, nakil önce/sonrası destek) ve sepsiste rol oynayan medyatörlerin ve pro/anti-enflamatuvarların etkin olarak dolaşımından uzaklaştırılmasında kullanılacaktır.</w:t>
            </w:r>
          </w:p>
        </w:tc>
      </w:tr>
      <w:tr w:rsidR="00927B9C" w:rsidRPr="00010E6B" w14:paraId="1FBFF517" w14:textId="77777777" w:rsidTr="005F5D9F">
        <w:trPr>
          <w:trHeight w:val="5116"/>
        </w:trPr>
        <w:tc>
          <w:tcPr>
            <w:tcW w:w="1690" w:type="dxa"/>
          </w:tcPr>
          <w:p w14:paraId="037568CE" w14:textId="77777777" w:rsidR="00927B9C" w:rsidRPr="00010E6B" w:rsidRDefault="00927B9C" w:rsidP="00010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165" w:type="dxa"/>
          </w:tcPr>
          <w:p w14:paraId="4A425BCF" w14:textId="609F6B4B" w:rsidR="009B5559" w:rsidRPr="00084EA8" w:rsidRDefault="009B5559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>Teklif edilen selektif plazma separatörünün</w:t>
            </w:r>
            <w:r w:rsidR="00913C23"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 veya adsorber</w:t>
            </w:r>
            <w:r w:rsidR="00950503" w:rsidRPr="00084EA8"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 farklı patojenlere/proteinlere yönelik farklı geçirgenlik katsayısına ve karakteristiğine sahip tipleri olmalıdır.</w:t>
            </w:r>
          </w:p>
          <w:p w14:paraId="6EC8FE25" w14:textId="77777777" w:rsidR="009B5559" w:rsidRPr="00010E6B" w:rsidRDefault="009B5559" w:rsidP="00010E6B">
            <w:pPr>
              <w:pStyle w:val="ListeParagraf"/>
              <w:numPr>
                <w:ilvl w:val="0"/>
                <w:numId w:val="4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sz w:val="24"/>
                <w:szCs w:val="24"/>
              </w:rPr>
              <w:t>Set içerisinde ilgili hatlar üzerinde renk ile kodlanmış arter, ven, filtre ve plazma basınç sensörleri bulunmalıdır.</w:t>
            </w:r>
          </w:p>
          <w:p w14:paraId="2FCACB80" w14:textId="77777777" w:rsidR="009B5559" w:rsidRPr="00010E6B" w:rsidRDefault="009B5559" w:rsidP="00010E6B">
            <w:pPr>
              <w:pStyle w:val="ListeParagraf"/>
              <w:numPr>
                <w:ilvl w:val="0"/>
                <w:numId w:val="4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sz w:val="24"/>
                <w:szCs w:val="24"/>
              </w:rPr>
              <w:t>Setin içerisinde; arter-ven seti, plazma dönüş hattı, atik torbası, prime atık torbası bulunmalıdır.</w:t>
            </w:r>
          </w:p>
          <w:p w14:paraId="11EDC34C" w14:textId="77777777" w:rsidR="009B5559" w:rsidRPr="00010E6B" w:rsidRDefault="009B5559" w:rsidP="00010E6B">
            <w:pPr>
              <w:pStyle w:val="ListeParagraf"/>
              <w:numPr>
                <w:ilvl w:val="0"/>
                <w:numId w:val="4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sz w:val="24"/>
                <w:szCs w:val="24"/>
              </w:rPr>
              <w:t>Set üzerindeki hatlarda arter ve ven kısımları renk koduyla işaretlenmiş olmalıdır.</w:t>
            </w:r>
          </w:p>
          <w:p w14:paraId="6969ED42" w14:textId="77777777" w:rsidR="00927B9C" w:rsidRPr="00010E6B" w:rsidRDefault="009B5559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sz w:val="24"/>
                <w:szCs w:val="24"/>
              </w:rPr>
              <w:t>Set üzerinde arter basıncını, ven basıncını, ön filtre basıncı, Plazma giriş basıncını ve ultrafiltrasyon basıncını ölçmek için kullanılan basınç izolatörleri bulunmalıdır.</w:t>
            </w:r>
          </w:p>
        </w:tc>
      </w:tr>
      <w:tr w:rsidR="00927B9C" w:rsidRPr="00010E6B" w14:paraId="7E34308E" w14:textId="77777777" w:rsidTr="00B24461">
        <w:trPr>
          <w:trHeight w:val="3780"/>
        </w:trPr>
        <w:tc>
          <w:tcPr>
            <w:tcW w:w="1690" w:type="dxa"/>
          </w:tcPr>
          <w:p w14:paraId="222A2D5A" w14:textId="77777777" w:rsidR="00927B9C" w:rsidRPr="00010E6B" w:rsidRDefault="00927B9C" w:rsidP="00010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8165" w:type="dxa"/>
          </w:tcPr>
          <w:p w14:paraId="471A9FCD" w14:textId="4C3F5A28" w:rsidR="009B5559" w:rsidRPr="00084EA8" w:rsidRDefault="009B5559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Membranlar </w:t>
            </w:r>
            <w:r w:rsidR="00913C23"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veya adsorberlar </w:t>
            </w: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tam kan </w:t>
            </w:r>
            <w:r w:rsidR="00913C23"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veya plazma </w:t>
            </w: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>ile çalışmak üzere tasarlanmış olmalıdır.</w:t>
            </w:r>
          </w:p>
          <w:p w14:paraId="63714799" w14:textId="77777777" w:rsidR="009B5559" w:rsidRPr="00010E6B" w:rsidRDefault="009B5559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sz w:val="24"/>
                <w:szCs w:val="24"/>
              </w:rPr>
              <w:t>Membranın seçici plazma ayırma özelliği sayesinde işlemler sırasında hastadan plazmanın sadece uzaklaştırılmak istenilen fraksiyonu ayrılıp uzaklaştırılırken özellikle koagulasyon unsurları ve immünoglobulinleri dolaşımda kalmalıdır.</w:t>
            </w:r>
          </w:p>
          <w:p w14:paraId="0BD4A768" w14:textId="7FE16478" w:rsidR="009B5559" w:rsidRPr="00084EA8" w:rsidRDefault="009B5559" w:rsidP="00BD0E6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>Kullanılan membranlarda replasman sıvısı olarak albumin solüsyonu veya taze donmuş plazma (TDP) + elektrolitik solüsyon kullanılabilmelidir</w:t>
            </w:r>
            <w:r w:rsidR="00BD0E6F"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F97122" w:rsidRPr="00084EA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BD0E6F" w:rsidRPr="00084EA8">
              <w:rPr>
                <w:rFonts w:ascii="Times New Roman" w:hAnsi="Times New Roman" w:cs="Times New Roman"/>
                <w:sz w:val="24"/>
                <w:szCs w:val="24"/>
              </w:rPr>
              <w:t>rün otolog olmalıdır. Dışardan herhangi bir replasman sıvısı gerektirmemelidir.</w:t>
            </w:r>
          </w:p>
          <w:p w14:paraId="7826E6B1" w14:textId="594E0421" w:rsidR="00183A15" w:rsidRPr="00084EA8" w:rsidRDefault="00183A15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EA8">
              <w:rPr>
                <w:rFonts w:ascii="Times New Roman" w:eastAsia="Arial Unicode MS" w:hAnsi="Times New Roman" w:cs="Times New Roman"/>
                <w:sz w:val="24"/>
                <w:szCs w:val="24"/>
              </w:rPr>
              <w:t>M</w:t>
            </w:r>
            <w:r w:rsidR="00B24461" w:rsidRPr="00084E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embranın </w:t>
            </w:r>
            <w:r w:rsidRPr="00084EA8">
              <w:rPr>
                <w:rFonts w:ascii="Times New Roman" w:eastAsia="Arial Unicode MS" w:hAnsi="Times New Roman" w:cs="Times New Roman"/>
                <w:sz w:val="24"/>
                <w:szCs w:val="24"/>
              </w:rPr>
              <w:t>yüzey alanı</w:t>
            </w:r>
            <w:r w:rsidR="00467D41" w:rsidRPr="00084E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veya adsorberlar </w:t>
            </w:r>
            <w:r w:rsidR="00B24461" w:rsidRPr="00084E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084EA8">
              <w:rPr>
                <w:rFonts w:ascii="Times New Roman" w:eastAsia="Arial Unicode MS" w:hAnsi="Times New Roman" w:cs="Times New Roman"/>
                <w:sz w:val="24"/>
                <w:szCs w:val="24"/>
              </w:rPr>
              <w:t>ekstrakorporeal volümü</w:t>
            </w:r>
            <w:r w:rsidR="00B24461" w:rsidRPr="00084EA8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Pr="00084E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>erişkin ve</w:t>
            </w:r>
            <w:r w:rsidR="00467D41" w:rsidRPr="00084EA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 pediatrik hastalarda hastanın hemodinamik yapısının bozulmaması için uygun </w:t>
            </w:r>
            <w:r w:rsidR="00467D41" w:rsidRPr="00084EA8">
              <w:rPr>
                <w:rFonts w:ascii="Times New Roman" w:hAnsi="Times New Roman" w:cs="Times New Roman"/>
                <w:sz w:val="24"/>
                <w:szCs w:val="24"/>
              </w:rPr>
              <w:t>ürünleri olmalıdır.</w:t>
            </w:r>
          </w:p>
          <w:p w14:paraId="076D110F" w14:textId="08D14394" w:rsidR="00010E6B" w:rsidRPr="00010E6B" w:rsidRDefault="00010E6B" w:rsidP="00010E6B">
            <w:pPr>
              <w:pStyle w:val="ListeParagraf"/>
              <w:numPr>
                <w:ilvl w:val="0"/>
                <w:numId w:val="4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Tüp seti erişkin </w:t>
            </w:r>
            <w:r w:rsidR="009C23FA" w:rsidRPr="00084EA8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 pediatrik hastalarda, hastanın hemodinamik yapısını bozmamalıdır.</w:t>
            </w:r>
          </w:p>
        </w:tc>
      </w:tr>
      <w:tr w:rsidR="00927B9C" w:rsidRPr="00010E6B" w14:paraId="4EA7903E" w14:textId="77777777" w:rsidTr="005F5D9F">
        <w:trPr>
          <w:trHeight w:val="1292"/>
        </w:trPr>
        <w:tc>
          <w:tcPr>
            <w:tcW w:w="1690" w:type="dxa"/>
          </w:tcPr>
          <w:p w14:paraId="3337BC0F" w14:textId="77777777" w:rsidR="00927B9C" w:rsidRPr="00010E6B" w:rsidRDefault="00927B9C" w:rsidP="00010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165" w:type="dxa"/>
          </w:tcPr>
          <w:p w14:paraId="779C1F6F" w14:textId="38D17FA7" w:rsidR="00BD0E6F" w:rsidRPr="00084EA8" w:rsidRDefault="009B5559" w:rsidP="00BD0E6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>Membranlar ile ilgili teklif veren firmalar koagulasyon, fibrinolitik sistem ve trombos</w:t>
            </w:r>
            <w:r w:rsidR="0074582C" w:rsidRPr="00084EA8">
              <w:rPr>
                <w:rFonts w:ascii="Times New Roman" w:hAnsi="Times New Roman" w:cs="Times New Roman"/>
                <w:sz w:val="24"/>
                <w:szCs w:val="24"/>
              </w:rPr>
              <w:t>it aktivasyon verileriyle ilinti</w:t>
            </w: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>li doküman sunmalıdır.</w:t>
            </w:r>
            <w:r w:rsidR="00BD0E6F" w:rsidRPr="00084EA8">
              <w:t xml:space="preserve"> </w:t>
            </w:r>
            <w:r w:rsidR="00BD0E6F" w:rsidRPr="00084EA8">
              <w:rPr>
                <w:rFonts w:ascii="Times New Roman" w:hAnsi="Times New Roman" w:cs="Times New Roman"/>
                <w:sz w:val="24"/>
                <w:szCs w:val="24"/>
              </w:rPr>
              <w:t>Ürün dünyada karaciğer yetmezliklerinde kullanıldığı ve karaciğer yetmezlikleri tedavisi için üretilmiş olduğu bilimsel makalerle kanıtlanmış olmalıdır.</w:t>
            </w:r>
          </w:p>
          <w:p w14:paraId="7C366AAE" w14:textId="3B6EED05" w:rsidR="000A6E27" w:rsidRPr="00010E6B" w:rsidRDefault="000A6E27" w:rsidP="00BD0E6F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59" w:rsidRPr="00010E6B" w14:paraId="6EBB09B7" w14:textId="77777777" w:rsidTr="005F5D9F">
        <w:trPr>
          <w:trHeight w:val="1292"/>
        </w:trPr>
        <w:tc>
          <w:tcPr>
            <w:tcW w:w="1690" w:type="dxa"/>
          </w:tcPr>
          <w:p w14:paraId="0D557E42" w14:textId="77777777" w:rsidR="009B5559" w:rsidRPr="00010E6B" w:rsidRDefault="0061053C" w:rsidP="00010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165" w:type="dxa"/>
          </w:tcPr>
          <w:p w14:paraId="23D95463" w14:textId="0EC5FB7C" w:rsidR="00DC034D" w:rsidRPr="00084EA8" w:rsidRDefault="00DC034D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>Teklif edilen membranlar</w:t>
            </w:r>
            <w:r w:rsidR="00467D41"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Pr="00084EA8">
              <w:rPr>
                <w:rFonts w:ascii="Times New Roman" w:hAnsi="Times New Roman" w:cs="Times New Roman"/>
                <w:sz w:val="24"/>
                <w:szCs w:val="24"/>
              </w:rPr>
              <w:t>Albumin’e istenilen amaca uygun farklı geçirgenlik oranlarına sahip olmalıdır. Ayrıca, teklif veren firmalar beher membran tipi için IgG, C3, C4, Fibrinojen ve IgM için geçirgenlik katsayılarını bildirmelidir.</w:t>
            </w:r>
            <w:r w:rsidR="00F97122" w:rsidRPr="00084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D41" w:rsidRPr="00084EA8">
              <w:rPr>
                <w:rFonts w:ascii="Times New Roman" w:hAnsi="Times New Roman" w:cs="Times New Roman"/>
                <w:sz w:val="24"/>
                <w:szCs w:val="24"/>
              </w:rPr>
              <w:t>Teklif edilen adsorberlar için ise  billirubin ve safra asidini adsorbe etmelidir.</w:t>
            </w:r>
          </w:p>
          <w:p w14:paraId="63872C76" w14:textId="77777777" w:rsidR="009B5559" w:rsidRPr="00010E6B" w:rsidRDefault="009B5559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sz w:val="24"/>
                <w:szCs w:val="24"/>
              </w:rPr>
              <w:t>Ürünlerin Türkçe broşürleri dosyada sunulmalı ve ürünün kullanılabileceği endikasyonlar broşürlerde açıkça belirtilmelidir.</w:t>
            </w:r>
          </w:p>
          <w:p w14:paraId="53C1842E" w14:textId="6A114193" w:rsidR="009B5559" w:rsidRPr="00950503" w:rsidRDefault="009B5559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67D41">
              <w:rPr>
                <w:rFonts w:ascii="Times New Roman" w:hAnsi="Times New Roman" w:cs="Times New Roman"/>
                <w:sz w:val="24"/>
                <w:szCs w:val="24"/>
              </w:rPr>
              <w:t>Teklif edilen ürünler işlem sırasında geçirgenlik performansında düşüş olmamalı ve yeterli klerensi sağlayabilecek şekilde tasarlanmış/üretilmiş olmalıdır</w:t>
            </w:r>
            <w:r w:rsidR="00084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F8C655" w14:textId="77777777" w:rsidR="00010E6B" w:rsidRPr="00010E6B" w:rsidRDefault="006F02B0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sz w:val="24"/>
                <w:szCs w:val="24"/>
              </w:rPr>
              <w:t>Steril paket halinde olmalı ve sterilizasyon yöntemi ve tarihi paket üzerinde belirtilmiş olmalıdır.</w:t>
            </w:r>
          </w:p>
          <w:p w14:paraId="7FDD7AC0" w14:textId="77777777" w:rsidR="00010E6B" w:rsidRPr="00010E6B" w:rsidRDefault="000A6E27" w:rsidP="00010E6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0E6B">
              <w:rPr>
                <w:rFonts w:ascii="Times New Roman" w:hAnsi="Times New Roman" w:cs="Times New Roman"/>
                <w:sz w:val="24"/>
                <w:szCs w:val="24"/>
              </w:rPr>
              <w:t>Teklif veren firma ürün hastanede bulunduğu sürece uygun cihazı hastane kullanımına bırakmalıdır.</w:t>
            </w:r>
          </w:p>
        </w:tc>
      </w:tr>
    </w:tbl>
    <w:p w14:paraId="187095F6" w14:textId="77777777" w:rsidR="00927B9C" w:rsidRPr="00010E6B" w:rsidRDefault="00927B9C" w:rsidP="00010E6B">
      <w:pPr>
        <w:rPr>
          <w:rFonts w:ascii="Times New Roman" w:hAnsi="Times New Roman" w:cs="Times New Roman"/>
          <w:sz w:val="24"/>
          <w:szCs w:val="24"/>
        </w:rPr>
      </w:pPr>
    </w:p>
    <w:sectPr w:rsidR="00927B9C" w:rsidRPr="00010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D09F" w14:textId="77777777" w:rsidR="00721552" w:rsidRDefault="00721552" w:rsidP="00A15992">
      <w:pPr>
        <w:spacing w:before="0" w:after="0" w:line="240" w:lineRule="auto"/>
      </w:pPr>
      <w:r>
        <w:separator/>
      </w:r>
    </w:p>
  </w:endnote>
  <w:endnote w:type="continuationSeparator" w:id="0">
    <w:p w14:paraId="189E7529" w14:textId="77777777" w:rsidR="00721552" w:rsidRDefault="00721552" w:rsidP="00A159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853082"/>
      <w:docPartObj>
        <w:docPartGallery w:val="Page Numbers (Bottom of Page)"/>
        <w:docPartUnique/>
      </w:docPartObj>
    </w:sdtPr>
    <w:sdtContent>
      <w:p w14:paraId="701830A1" w14:textId="77777777" w:rsidR="00A15992" w:rsidRDefault="00A1599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806">
          <w:rPr>
            <w:noProof/>
          </w:rPr>
          <w:t>1</w:t>
        </w:r>
        <w:r>
          <w:fldChar w:fldCharType="end"/>
        </w:r>
      </w:p>
    </w:sdtContent>
  </w:sdt>
  <w:p w14:paraId="6B0E93E9" w14:textId="77777777" w:rsidR="00A15992" w:rsidRDefault="00A159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C14B" w14:textId="77777777" w:rsidR="00721552" w:rsidRDefault="00721552" w:rsidP="00A15992">
      <w:pPr>
        <w:spacing w:before="0" w:after="0" w:line="240" w:lineRule="auto"/>
      </w:pPr>
      <w:r>
        <w:separator/>
      </w:r>
    </w:p>
  </w:footnote>
  <w:footnote w:type="continuationSeparator" w:id="0">
    <w:p w14:paraId="4D99143B" w14:textId="77777777" w:rsidR="00721552" w:rsidRDefault="00721552" w:rsidP="00A1599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3F6"/>
    <w:multiLevelType w:val="hybridMultilevel"/>
    <w:tmpl w:val="9216C9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DD7FFA"/>
    <w:multiLevelType w:val="hybridMultilevel"/>
    <w:tmpl w:val="9AF4F89C"/>
    <w:lvl w:ilvl="0" w:tplc="016858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0A6996"/>
    <w:multiLevelType w:val="hybridMultilevel"/>
    <w:tmpl w:val="8B50178E"/>
    <w:lvl w:ilvl="0" w:tplc="6A06D11A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148187">
    <w:abstractNumId w:val="5"/>
  </w:num>
  <w:num w:numId="2" w16cid:durableId="69621240">
    <w:abstractNumId w:val="6"/>
  </w:num>
  <w:num w:numId="3" w16cid:durableId="630525611">
    <w:abstractNumId w:val="4"/>
  </w:num>
  <w:num w:numId="4" w16cid:durableId="1903827823">
    <w:abstractNumId w:val="2"/>
  </w:num>
  <w:num w:numId="5" w16cid:durableId="198129499">
    <w:abstractNumId w:val="1"/>
  </w:num>
  <w:num w:numId="6" w16cid:durableId="1338385043">
    <w:abstractNumId w:val="0"/>
  </w:num>
  <w:num w:numId="7" w16cid:durableId="825324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10E6B"/>
    <w:rsid w:val="000758C3"/>
    <w:rsid w:val="00084EA8"/>
    <w:rsid w:val="000A6E27"/>
    <w:rsid w:val="000D75FB"/>
    <w:rsid w:val="001307F7"/>
    <w:rsid w:val="00130F94"/>
    <w:rsid w:val="001329AB"/>
    <w:rsid w:val="00183A15"/>
    <w:rsid w:val="003202E9"/>
    <w:rsid w:val="00331850"/>
    <w:rsid w:val="003823DA"/>
    <w:rsid w:val="00460ABF"/>
    <w:rsid w:val="00467D41"/>
    <w:rsid w:val="005F5D9F"/>
    <w:rsid w:val="0061053C"/>
    <w:rsid w:val="00612A4D"/>
    <w:rsid w:val="0062785C"/>
    <w:rsid w:val="00694806"/>
    <w:rsid w:val="006F02B0"/>
    <w:rsid w:val="00721552"/>
    <w:rsid w:val="0074582C"/>
    <w:rsid w:val="007745B2"/>
    <w:rsid w:val="007D1FF3"/>
    <w:rsid w:val="00836668"/>
    <w:rsid w:val="00913C23"/>
    <w:rsid w:val="00927B9C"/>
    <w:rsid w:val="00950503"/>
    <w:rsid w:val="009A5587"/>
    <w:rsid w:val="009A7287"/>
    <w:rsid w:val="009B5559"/>
    <w:rsid w:val="009C23FA"/>
    <w:rsid w:val="009D4146"/>
    <w:rsid w:val="00A15992"/>
    <w:rsid w:val="00AC69F3"/>
    <w:rsid w:val="00B14031"/>
    <w:rsid w:val="00B24461"/>
    <w:rsid w:val="00B541D7"/>
    <w:rsid w:val="00B96CA8"/>
    <w:rsid w:val="00BC28D5"/>
    <w:rsid w:val="00BD0E6F"/>
    <w:rsid w:val="00C32773"/>
    <w:rsid w:val="00C35B46"/>
    <w:rsid w:val="00C56846"/>
    <w:rsid w:val="00CA7B2D"/>
    <w:rsid w:val="00CF6580"/>
    <w:rsid w:val="00DC034D"/>
    <w:rsid w:val="00DC10A7"/>
    <w:rsid w:val="00E14A7C"/>
    <w:rsid w:val="00E543DC"/>
    <w:rsid w:val="00E608DB"/>
    <w:rsid w:val="00E86173"/>
    <w:rsid w:val="00EA7840"/>
    <w:rsid w:val="00EB0ED7"/>
    <w:rsid w:val="00F9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DD5D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9B5559"/>
    <w:pPr>
      <w:keepNext/>
      <w:keepLines/>
      <w:spacing w:before="480" w:after="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B55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159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5992"/>
  </w:style>
  <w:style w:type="paragraph" w:styleId="AltBilgi">
    <w:name w:val="footer"/>
    <w:basedOn w:val="Normal"/>
    <w:link w:val="AltBilgiChar"/>
    <w:uiPriority w:val="99"/>
    <w:unhideWhenUsed/>
    <w:rsid w:val="00A159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Tedarik</cp:lastModifiedBy>
  <cp:revision>2</cp:revision>
  <dcterms:created xsi:type="dcterms:W3CDTF">2025-12-01T08:06:00Z</dcterms:created>
  <dcterms:modified xsi:type="dcterms:W3CDTF">2025-12-01T08:06:00Z</dcterms:modified>
</cp:coreProperties>
</file>