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BD2DD4" w14:paraId="31EFEDE9" w14:textId="77777777" w:rsidTr="00E23A65">
        <w:trPr>
          <w:trHeight w:val="1351"/>
        </w:trPr>
        <w:tc>
          <w:tcPr>
            <w:tcW w:w="1537" w:type="dxa"/>
          </w:tcPr>
          <w:p w14:paraId="5CDD8829" w14:textId="77777777" w:rsidR="004B7494" w:rsidRPr="00BD2DD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BD2DD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39BD659C" w14:textId="77777777" w:rsidR="00696F04" w:rsidRPr="00BD2DD4" w:rsidRDefault="00BB7490" w:rsidP="00E23A65">
            <w:pPr>
              <w:pStyle w:val="ListeParagraf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Ventilatör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Solunum Devresi, u</w:t>
            </w:r>
            <w:r w:rsidR="006A75DF"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zun süreli </w:t>
            </w:r>
            <w:proofErr w:type="spellStart"/>
            <w:r w:rsidR="006A75DF"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="006A75DF"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uygulanan hastalarda kuru ve soğuk solunum gazları kullanılması sonucu oluşan akciğer ve solunum yolu hasarlarından kaçınmak amacıyla tasarlanmış olmalıdır</w:t>
            </w:r>
            <w:r w:rsidR="00C4329E"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BD2DD4" w14:paraId="1D427CFC" w14:textId="77777777" w:rsidTr="00E23A65">
        <w:trPr>
          <w:trHeight w:val="1181"/>
        </w:trPr>
        <w:tc>
          <w:tcPr>
            <w:tcW w:w="1537" w:type="dxa"/>
          </w:tcPr>
          <w:p w14:paraId="5C86CE1F" w14:textId="77777777" w:rsidR="004B7494" w:rsidRPr="00BD2DD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2DD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3A9E6A3B" w14:textId="77777777" w:rsidR="004B7494" w:rsidRPr="00BD2DD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6A5E33A5" w14:textId="77777777" w:rsidR="00525195" w:rsidRPr="00BD2DD4" w:rsidRDefault="006A75DF" w:rsidP="00E23A65">
            <w:pPr>
              <w:numPr>
                <w:ilvl w:val="0"/>
                <w:numId w:val="34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Hasta Devresi ısıtıcılı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inspiryum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hattı,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ekspiryum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hattı, ara hortum,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C4329E"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vöz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uzatma hattı (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yenidoğan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 için geçerli) ve </w:t>
            </w:r>
            <w:proofErr w:type="spellStart"/>
            <w:r w:rsidRPr="00BD2DD4">
              <w:rPr>
                <w:rFonts w:ascii="Times New Roman" w:hAnsi="Times New Roman" w:cs="Times New Roman"/>
                <w:sz w:val="24"/>
                <w:szCs w:val="24"/>
              </w:rPr>
              <w:t>şamandralı</w:t>
            </w:r>
            <w:proofErr w:type="spellEnd"/>
            <w:r w:rsidRPr="00BD2DD4">
              <w:rPr>
                <w:rFonts w:ascii="Times New Roman" w:hAnsi="Times New Roman" w:cs="Times New Roman"/>
                <w:sz w:val="24"/>
                <w:szCs w:val="24"/>
              </w:rPr>
              <w:t xml:space="preserve"> otomatik dolum </w:t>
            </w:r>
            <w:proofErr w:type="spellStart"/>
            <w:r w:rsidRPr="00BD2DD4">
              <w:rPr>
                <w:rFonts w:ascii="Times New Roman" w:hAnsi="Times New Roman" w:cs="Times New Roman"/>
                <w:sz w:val="24"/>
                <w:szCs w:val="24"/>
              </w:rPr>
              <w:t>chamberd</w:t>
            </w:r>
            <w:r w:rsidR="00C4329E" w:rsidRPr="00BD2DD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D2DD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BD2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AAE" w:rsidRPr="00BD2DD4">
              <w:rPr>
                <w:rFonts w:ascii="Times New Roman" w:hAnsi="Times New Roman" w:cs="Times New Roman"/>
                <w:sz w:val="24"/>
                <w:szCs w:val="24"/>
              </w:rPr>
              <w:t xml:space="preserve">veya emici fitilli silindir </w:t>
            </w:r>
            <w:proofErr w:type="spellStart"/>
            <w:r w:rsidR="00315AAE" w:rsidRPr="00BD2DD4">
              <w:rPr>
                <w:rFonts w:ascii="Times New Roman" w:hAnsi="Times New Roman" w:cs="Times New Roman"/>
                <w:sz w:val="24"/>
                <w:szCs w:val="24"/>
              </w:rPr>
              <w:t>chamberden</w:t>
            </w:r>
            <w:proofErr w:type="spellEnd"/>
            <w:r w:rsidR="00315AAE" w:rsidRPr="00BD2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DD4">
              <w:rPr>
                <w:rFonts w:ascii="Times New Roman" w:hAnsi="Times New Roman" w:cs="Times New Roman"/>
                <w:sz w:val="24"/>
                <w:szCs w:val="24"/>
              </w:rPr>
              <w:t>oluşmalı</w:t>
            </w:r>
            <w:r w:rsidR="00C4329E" w:rsidRPr="00BD2DD4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3AF03575" w14:textId="77777777" w:rsidR="00C4329E" w:rsidRPr="00BD2DD4" w:rsidRDefault="00C4329E" w:rsidP="00E23A65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yenidoğan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15AAE"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pediatrik ve yetişkinler için farklı ölçülerde olmalıdır.</w:t>
            </w:r>
          </w:p>
          <w:p w14:paraId="2C3F8E4A" w14:textId="77777777" w:rsidR="00315AAE" w:rsidRPr="00BD2DD4" w:rsidRDefault="00315AAE" w:rsidP="00E23A65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Ekspirasyon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6D73"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="009B6D73"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inspirasyon</w:t>
            </w:r>
            <w:proofErr w:type="spellEnd"/>
            <w:r w:rsidR="009B6D73"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hattı su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tutucusuz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veya tek su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tutuculu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veya çift su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tutuculu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2DD4">
              <w:rPr>
                <w:rFonts w:ascii="Times New Roman" w:hAnsi="Times New Roman" w:cs="Times New Roman"/>
                <w:sz w:val="24"/>
                <w:szCs w:val="24"/>
              </w:rPr>
              <w:t>olabilir.</w:t>
            </w:r>
          </w:p>
        </w:tc>
      </w:tr>
      <w:tr w:rsidR="00E23A65" w:rsidRPr="00BD2DD4" w14:paraId="7F45AEE7" w14:textId="77777777" w:rsidTr="00400917">
        <w:trPr>
          <w:trHeight w:val="1181"/>
        </w:trPr>
        <w:tc>
          <w:tcPr>
            <w:tcW w:w="1537" w:type="dxa"/>
            <w:vMerge w:val="restart"/>
          </w:tcPr>
          <w:p w14:paraId="0DCC2358" w14:textId="666FED8A" w:rsidR="00E23A65" w:rsidRPr="00BD2DD4" w:rsidRDefault="00E23A65" w:rsidP="00BD2DD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2DD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14:paraId="6B74AADA" w14:textId="77777777" w:rsidR="00E23A65" w:rsidRPr="00BD2DD4" w:rsidRDefault="00E23A65" w:rsidP="007B6B1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Hasta devresinin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inspirasyon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hattı içerisinde ısıtıcı teller hat boyunca gömülü veya spiralli olmalıdır.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İnspirasyon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hortum hat lümeni (iç yüzeyi) akış direncini en aza indirecek iç yüzeyi pürüzsüz veya ona yakın düşük pürüzlü yapıda olmalıdır.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İnspirasyon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hattının hasta tarafına yakın bölümünde entegre sıcaklık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probu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olmalıdır.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İnspirasyon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hortum hattının çeperi hava yalıtımlı veya kalınlaştırılmış çeperden oluşmalı ve dış kaynaklı hat içerisinde oluşabilecek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yoğuşma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sorunları önlenebilmelidir.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Ekspirasyon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hattı ve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inspirasyon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hattı içerisinde su birikimi olmamalıdır.</w:t>
            </w:r>
          </w:p>
          <w:p w14:paraId="75CB5CC3" w14:textId="77777777" w:rsidR="00E23A65" w:rsidRPr="00BD2DD4" w:rsidRDefault="00E23A65" w:rsidP="007B6B1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Solunum devresi hastanede bulunan nemlendirme cihazı ve cihaza ait ısıtma ve </w:t>
            </w:r>
            <w:proofErr w:type="spellStart"/>
            <w:r w:rsidRPr="00BD2DD4">
              <w:rPr>
                <w:rFonts w:ascii="Times New Roman" w:hAnsi="Times New Roman" w:cs="Times New Roman"/>
                <w:sz w:val="24"/>
                <w:szCs w:val="24"/>
              </w:rPr>
              <w:t>sensör</w:t>
            </w:r>
            <w:proofErr w:type="spellEnd"/>
            <w:r w:rsidRPr="00BD2DD4">
              <w:rPr>
                <w:rFonts w:ascii="Times New Roman" w:hAnsi="Times New Roman" w:cs="Times New Roman"/>
                <w:sz w:val="24"/>
                <w:szCs w:val="24"/>
              </w:rPr>
              <w:t xml:space="preserve"> kabloları veya kartuş gibi teknolojik birimler ile tam uyumlu çalışabilmelidir. İhale uhdesinde kalan firma cihazlar ile kendi devrelerine uyumlu yeterli sayıda ısıtıcı tel adaptörünü ürünler ile birlikte teslim etmelidir.</w:t>
            </w:r>
          </w:p>
          <w:p w14:paraId="15B29084" w14:textId="77777777" w:rsidR="00E23A65" w:rsidRPr="00BD2DD4" w:rsidRDefault="00E23A65" w:rsidP="007B6B1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DD4">
              <w:rPr>
                <w:rFonts w:ascii="Times New Roman" w:hAnsi="Times New Roman" w:cs="Times New Roman"/>
                <w:sz w:val="24"/>
                <w:szCs w:val="24"/>
              </w:rPr>
              <w:t xml:space="preserve">Solunum devresi; </w:t>
            </w:r>
            <w:proofErr w:type="spellStart"/>
            <w:r w:rsidRPr="00BD2DD4">
              <w:rPr>
                <w:rFonts w:ascii="Times New Roman" w:hAnsi="Times New Roman" w:cs="Times New Roman"/>
                <w:sz w:val="24"/>
                <w:szCs w:val="24"/>
              </w:rPr>
              <w:t>ventilatör</w:t>
            </w:r>
            <w:proofErr w:type="spellEnd"/>
            <w:r w:rsidRPr="00BD2DD4">
              <w:rPr>
                <w:rFonts w:ascii="Times New Roman" w:hAnsi="Times New Roman" w:cs="Times New Roman"/>
                <w:sz w:val="24"/>
                <w:szCs w:val="24"/>
              </w:rPr>
              <w:t xml:space="preserve"> cihazı ve nemlendirme sistemi ile uyumlu olmalı, normal çalışma koşullarında anlamlı kaçak oluşturmamalı ve kaçak alarmını tetiklememelidir.</w:t>
            </w:r>
          </w:p>
          <w:p w14:paraId="269A0F32" w14:textId="0F45D085" w:rsidR="00E23A65" w:rsidRPr="00BD2DD4" w:rsidRDefault="00E23A65" w:rsidP="00E23A65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Klinikteki mevcut nemlendirici cihazlarının ısı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sensörlerinin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verimli kullanımı için, hasta </w:t>
            </w:r>
            <w:r w:rsidRPr="00BD2D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1C331AC" wp14:editId="085545D7">
                  <wp:extent cx="9149" cy="4572"/>
                  <wp:effectExtent l="0" t="0" r="0" b="0"/>
                  <wp:docPr id="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71" name="Picture 934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9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devresinin ısıtıcılı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inspirasyon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hattının uç kısımlarında 2 adet port bulunmalı,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sensörler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portlara takıldığı zaman tam oturmalıdır.</w:t>
            </w:r>
            <w:r w:rsidRPr="00BD2DD4">
              <w:rPr>
                <w:noProof/>
                <w:lang w:eastAsia="tr-TR"/>
              </w:rPr>
              <w:drawing>
                <wp:anchor distT="0" distB="0" distL="114300" distR="114300" simplePos="0" relativeHeight="251665408" behindDoc="0" locked="0" layoutInCell="1" allowOverlap="0" wp14:anchorId="4A64FEFB" wp14:editId="1F96ADAA">
                  <wp:simplePos x="0" y="0"/>
                  <wp:positionH relativeFrom="column">
                    <wp:posOffset>6455244</wp:posOffset>
                  </wp:positionH>
                  <wp:positionV relativeFrom="paragraph">
                    <wp:posOffset>145824</wp:posOffset>
                  </wp:positionV>
                  <wp:extent cx="13725" cy="4572"/>
                  <wp:effectExtent l="0" t="0" r="0" b="0"/>
                  <wp:wrapSquare wrapText="bothSides"/>
                  <wp:docPr id="1" name="Picture 93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73" name="Picture 934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5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D2DD4">
              <w:rPr>
                <w:noProof/>
                <w:lang w:eastAsia="tr-TR"/>
              </w:rPr>
              <w:drawing>
                <wp:anchor distT="0" distB="0" distL="114300" distR="114300" simplePos="0" relativeHeight="251666432" behindDoc="0" locked="0" layoutInCell="1" allowOverlap="0" wp14:anchorId="72911B5C" wp14:editId="43D39900">
                  <wp:simplePos x="0" y="0"/>
                  <wp:positionH relativeFrom="column">
                    <wp:posOffset>6455244</wp:posOffset>
                  </wp:positionH>
                  <wp:positionV relativeFrom="paragraph">
                    <wp:posOffset>145824</wp:posOffset>
                  </wp:positionV>
                  <wp:extent cx="13725" cy="4572"/>
                  <wp:effectExtent l="0" t="0" r="0" b="0"/>
                  <wp:wrapSquare wrapText="bothSides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73" name="Picture 934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5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23A65" w:rsidRPr="00BD2DD4" w14:paraId="78C9397A" w14:textId="77777777" w:rsidTr="00421CA2">
        <w:trPr>
          <w:trHeight w:val="10425"/>
        </w:trPr>
        <w:tc>
          <w:tcPr>
            <w:tcW w:w="1537" w:type="dxa"/>
            <w:vMerge/>
          </w:tcPr>
          <w:p w14:paraId="49748EB0" w14:textId="77777777" w:rsidR="00E23A65" w:rsidRPr="00BD2DD4" w:rsidRDefault="00E23A65" w:rsidP="007B6B1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AAEEA31" w14:textId="77777777" w:rsidR="00E23A65" w:rsidRPr="00BD2DD4" w:rsidRDefault="00E23A65" w:rsidP="00E23A65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Hasta devresinin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yenidoğan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paketi içerisinde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insprasyon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ekspirasyon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hatlarını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biraraya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getiren Y'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konnektör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kısmı hortum bölümlerine takılı ve hazır bir şekilde paketlenmiş olmalıdır.</w:t>
            </w:r>
          </w:p>
          <w:p w14:paraId="035B30CC" w14:textId="77777777" w:rsidR="00E23A65" w:rsidRPr="00BD2DD4" w:rsidRDefault="00E23A65" w:rsidP="00E23A65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Otomatik beslemeli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chamberlar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aşağıdaki özellikleri içermelidir.</w:t>
            </w:r>
          </w:p>
          <w:p w14:paraId="47FEDEEE" w14:textId="77777777" w:rsidR="00E23A65" w:rsidRPr="00BD2DD4" w:rsidRDefault="00E23A65" w:rsidP="00E23A65">
            <w:pPr>
              <w:pStyle w:val="ListeParagraf"/>
              <w:numPr>
                <w:ilvl w:val="1"/>
                <w:numId w:val="34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Metal taban altlığı olmalı ve cihaza rahatça oturtulabilmeli ve ayrılabilmelidir.</w:t>
            </w:r>
          </w:p>
          <w:p w14:paraId="009AD170" w14:textId="77777777" w:rsidR="00E23A65" w:rsidRPr="00BD2DD4" w:rsidRDefault="00E23A65" w:rsidP="00E23A65">
            <w:pPr>
              <w:pStyle w:val="ListeParagraf"/>
              <w:numPr>
                <w:ilvl w:val="1"/>
                <w:numId w:val="34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Hazne dolum hattı fabrikadan monte edilmiş şekilde paketlenmiş olmalıdır. Otomatik dolum özelliği ile optimum su seviyesini koruyabilmelidir.</w:t>
            </w:r>
          </w:p>
          <w:p w14:paraId="20663F5C" w14:textId="77777777" w:rsidR="00E23A65" w:rsidRPr="00BD2DD4" w:rsidRDefault="00E23A65" w:rsidP="00E23A65">
            <w:pPr>
              <w:pStyle w:val="ListeParagraf"/>
              <w:numPr>
                <w:ilvl w:val="1"/>
                <w:numId w:val="34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Su seviyesi su rezervuarından rahatlıkla kontrol edilebilmelidir.</w:t>
            </w:r>
          </w:p>
          <w:p w14:paraId="0DB9FD4E" w14:textId="77777777" w:rsidR="00E23A65" w:rsidRPr="00BD2DD4" w:rsidRDefault="00E23A65" w:rsidP="00E23A65">
            <w:pPr>
              <w:pStyle w:val="ListeParagraf"/>
              <w:numPr>
                <w:ilvl w:val="1"/>
                <w:numId w:val="34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Su seviyesinin kontrolünü güvenli aralıkta tutacak ve böylece hasta güvenliğini en iyi şekilde sağlayacak mekanizmaya sahip olmalıdır.</w:t>
            </w:r>
          </w:p>
          <w:p w14:paraId="33375428" w14:textId="77777777" w:rsidR="00E23A65" w:rsidRPr="00BD2DD4" w:rsidRDefault="00E23A65" w:rsidP="007B6B1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Emici fitilli silindir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chamberlarda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aşağıdaki özellikleri içermelidir.</w:t>
            </w:r>
          </w:p>
          <w:p w14:paraId="6CA44C8F" w14:textId="77777777" w:rsidR="00E23A65" w:rsidRPr="00BD2DD4" w:rsidRDefault="00E23A65" w:rsidP="007B6B1D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Her devre seti ile birlikte dış yüzeyi metal olan silindir şeklinde bir adet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chamber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verilecektir.</w:t>
            </w:r>
          </w:p>
          <w:p w14:paraId="7619F578" w14:textId="77777777" w:rsidR="00E23A65" w:rsidRPr="00BD2DD4" w:rsidRDefault="00E23A65" w:rsidP="007B6B1D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Chamber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 derece metal çevreye sahip olmalı ve cihaza rahatça yerleştirilebilmelidir.</w:t>
            </w:r>
          </w:p>
          <w:p w14:paraId="5CEAEF9B" w14:textId="77777777" w:rsidR="00E23A65" w:rsidRPr="00BD2DD4" w:rsidRDefault="00E23A65" w:rsidP="007B6B1D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Hazne dolum hattı fabrikada monte edilmiş şekilde paketlenmiş olmalıdır. Otomatik yer çekim dolum özelliği ile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chamber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optimum su seviyesini koruyabilmelidir.</w:t>
            </w:r>
          </w:p>
          <w:p w14:paraId="3BF7069E" w14:textId="77777777" w:rsidR="00E23A65" w:rsidRPr="00BD2DD4" w:rsidRDefault="00E23A65" w:rsidP="007B6B1D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Chamberin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(iki) adet bağlantı hortumları olmalıdır.</w:t>
            </w:r>
          </w:p>
          <w:p w14:paraId="0EC5B82A" w14:textId="77777777" w:rsidR="00E23A65" w:rsidRPr="00BD2DD4" w:rsidRDefault="00E23A65" w:rsidP="007B6B1D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Steril su rezervuardan </w:t>
            </w:r>
            <w:proofErr w:type="spellStart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Chamber</w:t>
            </w:r>
            <w:proofErr w:type="spellEnd"/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içine bir yerçekimi besleme sistemi aracılığıyla akarak dahili emici fitili ıslatmalıdır.</w:t>
            </w:r>
          </w:p>
          <w:p w14:paraId="1792E0DD" w14:textId="5236D1CA" w:rsidR="00E23A65" w:rsidRPr="00BD2DD4" w:rsidRDefault="00E23A65" w:rsidP="007B6B1D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DD4">
              <w:rPr>
                <w:rFonts w:ascii="Times New Roman" w:eastAsia="Times New Roman" w:hAnsi="Times New Roman" w:cs="Times New Roman"/>
                <w:sz w:val="24"/>
                <w:szCs w:val="24"/>
              </w:rPr>
              <w:t>Su seviyesi su rezervuarından rahatlıkla kontrol edilebilmelidir.</w:t>
            </w:r>
          </w:p>
        </w:tc>
      </w:tr>
      <w:tr w:rsidR="007B6B1D" w14:paraId="33C6649C" w14:textId="77777777" w:rsidTr="004B7494">
        <w:trPr>
          <w:trHeight w:val="1640"/>
        </w:trPr>
        <w:tc>
          <w:tcPr>
            <w:tcW w:w="1537" w:type="dxa"/>
          </w:tcPr>
          <w:p w14:paraId="39DC6FE0" w14:textId="77777777" w:rsidR="007B6B1D" w:rsidRPr="00BD2DD4" w:rsidRDefault="007B6B1D" w:rsidP="007B6B1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2DD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58BCB1A0" w14:textId="77777777" w:rsidR="007B6B1D" w:rsidRPr="00BD2DD4" w:rsidRDefault="007B6B1D" w:rsidP="007B6B1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9F72B61" w14:textId="77777777" w:rsidR="00DF10C3" w:rsidRPr="00BD2DD4" w:rsidRDefault="007B6B1D" w:rsidP="005E3191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right="157"/>
              <w:jc w:val="both"/>
            </w:pPr>
            <w:r w:rsidRPr="00BD2DD4">
              <w:rPr>
                <w:rFonts w:ascii="Times New Roman" w:hAnsi="Times New Roman" w:cs="Times New Roman"/>
                <w:sz w:val="24"/>
                <w:szCs w:val="24"/>
              </w:rPr>
              <w:t>Ürünler orijinal ambalajında, tek kullanımlık olmalıdır.</w:t>
            </w:r>
            <w:r w:rsidR="005A725C" w:rsidRPr="00BD2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48036C" w14:textId="77777777" w:rsidR="007B6B1D" w:rsidRPr="00BD2DD4" w:rsidRDefault="007B6B1D" w:rsidP="005E3191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right="157"/>
              <w:jc w:val="both"/>
            </w:pPr>
            <w:r w:rsidRPr="00BD2DD4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  <w:p w14:paraId="37B8489C" w14:textId="77777777" w:rsidR="005A725C" w:rsidRPr="00BD2DD4" w:rsidRDefault="007B6B1D" w:rsidP="00DF10C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DD4">
              <w:rPr>
                <w:rFonts w:ascii="Times New Roman" w:hAnsi="Times New Roman" w:cs="Times New Roman"/>
                <w:sz w:val="24"/>
                <w:szCs w:val="24"/>
              </w:rPr>
              <w:t xml:space="preserve">Yüklenici firma teslim ettiği ürünler hastanedeki cihazlar ile uyumlu değil ise ürün hastane stoklarında tükeninceye kadar kullanılmak üzere 30 devreye karşılık 1 cihaz teslim edecek, uyumlu ise cihaz şartı aranmayacaktır. </w:t>
            </w:r>
          </w:p>
        </w:tc>
      </w:tr>
    </w:tbl>
    <w:p w14:paraId="5D0E89A4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23431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9B795" w14:textId="77777777" w:rsidR="003D0BC2" w:rsidRDefault="003D0BC2" w:rsidP="00B2517C">
      <w:pPr>
        <w:spacing w:after="0" w:line="240" w:lineRule="auto"/>
      </w:pPr>
      <w:r>
        <w:separator/>
      </w:r>
    </w:p>
  </w:endnote>
  <w:endnote w:type="continuationSeparator" w:id="0">
    <w:p w14:paraId="2D388D99" w14:textId="77777777" w:rsidR="003D0BC2" w:rsidRDefault="003D0BC2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5CA0B" w14:textId="77777777" w:rsidR="003D0BC2" w:rsidRDefault="003D0BC2" w:rsidP="00B2517C">
      <w:pPr>
        <w:spacing w:after="0" w:line="240" w:lineRule="auto"/>
      </w:pPr>
      <w:r>
        <w:separator/>
      </w:r>
    </w:p>
  </w:footnote>
  <w:footnote w:type="continuationSeparator" w:id="0">
    <w:p w14:paraId="494AB309" w14:textId="77777777" w:rsidR="003D0BC2" w:rsidRDefault="003D0BC2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01C16" w14:textId="77777777" w:rsidR="006A75DF" w:rsidRPr="00D473C5" w:rsidRDefault="006A75DF" w:rsidP="006A75DF">
    <w:pPr>
      <w:spacing w:after="0" w:line="360" w:lineRule="auto"/>
      <w:ind w:left="426" w:hanging="426"/>
      <w:rPr>
        <w:rFonts w:ascii="Times New Roman" w:eastAsia="Times New Roman" w:hAnsi="Times New Roman" w:cs="Times New Roman"/>
        <w:b/>
        <w:sz w:val="24"/>
        <w:szCs w:val="24"/>
        <w:u w:val="single"/>
      </w:rPr>
    </w:pPr>
    <w:r w:rsidRPr="00D15CF1">
      <w:rPr>
        <w:rFonts w:ascii="Times New Roman" w:eastAsia="Times New Roman" w:hAnsi="Times New Roman" w:cs="Times New Roman"/>
        <w:b/>
        <w:sz w:val="24"/>
        <w:szCs w:val="24"/>
      </w:rPr>
      <w:t>SMT1201 VENTİLATÖR SOLUNUM DEVRESİ</w:t>
    </w:r>
    <w:r w:rsidR="00315AAE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 w:rsidRPr="00D15CF1">
      <w:rPr>
        <w:rFonts w:ascii="Times New Roman" w:eastAsia="Times New Roman" w:hAnsi="Times New Roman" w:cs="Times New Roman"/>
        <w:b/>
        <w:sz w:val="24"/>
        <w:szCs w:val="24"/>
      </w:rPr>
      <w:t>ISITMALI</w:t>
    </w:r>
  </w:p>
  <w:p w14:paraId="466241A6" w14:textId="77777777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1FC"/>
    <w:multiLevelType w:val="hybridMultilevel"/>
    <w:tmpl w:val="C108DA9E"/>
    <w:lvl w:ilvl="0" w:tplc="5808A81A">
      <w:start w:val="1"/>
      <w:numFmt w:val="decimal"/>
      <w:lvlText w:val="%1)"/>
      <w:lvlJc w:val="left"/>
      <w:pPr>
        <w:ind w:left="720" w:hanging="360"/>
      </w:pPr>
      <w:rPr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F2D1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22BEB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28F9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EEE1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36747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7213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0A93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26DE2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828DE"/>
    <w:multiLevelType w:val="hybridMultilevel"/>
    <w:tmpl w:val="704CB730"/>
    <w:lvl w:ilvl="0" w:tplc="0692510A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301E7"/>
    <w:multiLevelType w:val="hybridMultilevel"/>
    <w:tmpl w:val="8D2EA86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0AE0E66"/>
    <w:multiLevelType w:val="hybridMultilevel"/>
    <w:tmpl w:val="398C00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A37B9"/>
    <w:multiLevelType w:val="hybridMultilevel"/>
    <w:tmpl w:val="B3B268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47BE"/>
    <w:multiLevelType w:val="hybridMultilevel"/>
    <w:tmpl w:val="AC944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1BF5BD8"/>
    <w:multiLevelType w:val="hybridMultilevel"/>
    <w:tmpl w:val="DEB68A9C"/>
    <w:lvl w:ilvl="0" w:tplc="188887A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512FF"/>
    <w:multiLevelType w:val="hybridMultilevel"/>
    <w:tmpl w:val="000AE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9789F"/>
    <w:multiLevelType w:val="hybridMultilevel"/>
    <w:tmpl w:val="AC944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E6AD1"/>
    <w:multiLevelType w:val="hybridMultilevel"/>
    <w:tmpl w:val="28908FA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77D6B"/>
    <w:multiLevelType w:val="hybridMultilevel"/>
    <w:tmpl w:val="C14AB5AE"/>
    <w:lvl w:ilvl="0" w:tplc="76A897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010152"/>
    <w:multiLevelType w:val="hybridMultilevel"/>
    <w:tmpl w:val="BEF0A6B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244EB2"/>
    <w:multiLevelType w:val="hybridMultilevel"/>
    <w:tmpl w:val="CF3CD5FC"/>
    <w:lvl w:ilvl="0" w:tplc="851AB6A0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3"/>
  </w:num>
  <w:num w:numId="2">
    <w:abstractNumId w:val="8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0"/>
  </w:num>
  <w:num w:numId="6">
    <w:abstractNumId w:val="2"/>
  </w:num>
  <w:num w:numId="7">
    <w:abstractNumId w:val="30"/>
  </w:num>
  <w:num w:numId="8">
    <w:abstractNumId w:val="25"/>
  </w:num>
  <w:num w:numId="9">
    <w:abstractNumId w:val="35"/>
  </w:num>
  <w:num w:numId="10">
    <w:abstractNumId w:val="3"/>
  </w:num>
  <w:num w:numId="11">
    <w:abstractNumId w:val="12"/>
  </w:num>
  <w:num w:numId="12">
    <w:abstractNumId w:val="17"/>
  </w:num>
  <w:num w:numId="13">
    <w:abstractNumId w:val="28"/>
  </w:num>
  <w:num w:numId="14">
    <w:abstractNumId w:val="9"/>
  </w:num>
  <w:num w:numId="15">
    <w:abstractNumId w:val="36"/>
  </w:num>
  <w:num w:numId="16">
    <w:abstractNumId w:val="24"/>
  </w:num>
  <w:num w:numId="17">
    <w:abstractNumId w:val="32"/>
  </w:num>
  <w:num w:numId="18">
    <w:abstractNumId w:val="33"/>
  </w:num>
  <w:num w:numId="19">
    <w:abstractNumId w:val="5"/>
  </w:num>
  <w:num w:numId="20">
    <w:abstractNumId w:val="26"/>
  </w:num>
  <w:num w:numId="21">
    <w:abstractNumId w:val="15"/>
  </w:num>
  <w:num w:numId="22">
    <w:abstractNumId w:val="16"/>
  </w:num>
  <w:num w:numId="23">
    <w:abstractNumId w:val="27"/>
  </w:num>
  <w:num w:numId="24">
    <w:abstractNumId w:val="29"/>
  </w:num>
  <w:num w:numId="25">
    <w:abstractNumId w:val="6"/>
  </w:num>
  <w:num w:numId="26">
    <w:abstractNumId w:val="19"/>
  </w:num>
  <w:num w:numId="27">
    <w:abstractNumId w:val="20"/>
  </w:num>
  <w:num w:numId="28">
    <w:abstractNumId w:val="1"/>
  </w:num>
  <w:num w:numId="29">
    <w:abstractNumId w:val="4"/>
  </w:num>
  <w:num w:numId="30">
    <w:abstractNumId w:val="31"/>
  </w:num>
  <w:num w:numId="31">
    <w:abstractNumId w:val="14"/>
  </w:num>
  <w:num w:numId="32">
    <w:abstractNumId w:val="11"/>
  </w:num>
  <w:num w:numId="33">
    <w:abstractNumId w:val="21"/>
  </w:num>
  <w:num w:numId="34">
    <w:abstractNumId w:val="10"/>
  </w:num>
  <w:num w:numId="35">
    <w:abstractNumId w:val="18"/>
  </w:num>
  <w:num w:numId="36">
    <w:abstractNumId w:val="7"/>
  </w:num>
  <w:num w:numId="37">
    <w:abstractNumId w:val="23"/>
  </w:num>
  <w:num w:numId="38">
    <w:abstractNumId w:val="38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1A23"/>
    <w:rsid w:val="000137A9"/>
    <w:rsid w:val="00073F1E"/>
    <w:rsid w:val="000D04A5"/>
    <w:rsid w:val="00104579"/>
    <w:rsid w:val="0016648C"/>
    <w:rsid w:val="00194192"/>
    <w:rsid w:val="00195FEB"/>
    <w:rsid w:val="001D0F49"/>
    <w:rsid w:val="001D5CF8"/>
    <w:rsid w:val="0023431A"/>
    <w:rsid w:val="002618E3"/>
    <w:rsid w:val="00263854"/>
    <w:rsid w:val="002B66F4"/>
    <w:rsid w:val="002D7AC6"/>
    <w:rsid w:val="00315AAE"/>
    <w:rsid w:val="00331203"/>
    <w:rsid w:val="003935F1"/>
    <w:rsid w:val="003D0BC2"/>
    <w:rsid w:val="00400917"/>
    <w:rsid w:val="00410853"/>
    <w:rsid w:val="00436155"/>
    <w:rsid w:val="00440882"/>
    <w:rsid w:val="00445ABB"/>
    <w:rsid w:val="00483F52"/>
    <w:rsid w:val="004B7494"/>
    <w:rsid w:val="004E2743"/>
    <w:rsid w:val="00511809"/>
    <w:rsid w:val="005140F8"/>
    <w:rsid w:val="00525195"/>
    <w:rsid w:val="005416EE"/>
    <w:rsid w:val="00542088"/>
    <w:rsid w:val="005647D3"/>
    <w:rsid w:val="005A725C"/>
    <w:rsid w:val="005C0D2F"/>
    <w:rsid w:val="005E254C"/>
    <w:rsid w:val="005F5033"/>
    <w:rsid w:val="00603050"/>
    <w:rsid w:val="0060330E"/>
    <w:rsid w:val="006044A3"/>
    <w:rsid w:val="00631306"/>
    <w:rsid w:val="006615E7"/>
    <w:rsid w:val="00666B97"/>
    <w:rsid w:val="00696F04"/>
    <w:rsid w:val="006A6D57"/>
    <w:rsid w:val="006A75DF"/>
    <w:rsid w:val="006C2EEF"/>
    <w:rsid w:val="006E0C8A"/>
    <w:rsid w:val="00747A9B"/>
    <w:rsid w:val="007920EC"/>
    <w:rsid w:val="00795958"/>
    <w:rsid w:val="007A18A2"/>
    <w:rsid w:val="007B6B1D"/>
    <w:rsid w:val="007C522E"/>
    <w:rsid w:val="007D46FC"/>
    <w:rsid w:val="00825136"/>
    <w:rsid w:val="00840896"/>
    <w:rsid w:val="00845026"/>
    <w:rsid w:val="008728FA"/>
    <w:rsid w:val="008829BB"/>
    <w:rsid w:val="00897CF7"/>
    <w:rsid w:val="00904E2A"/>
    <w:rsid w:val="00914C3F"/>
    <w:rsid w:val="00936492"/>
    <w:rsid w:val="0094557E"/>
    <w:rsid w:val="009534F0"/>
    <w:rsid w:val="0096147E"/>
    <w:rsid w:val="0098044A"/>
    <w:rsid w:val="009B1CE7"/>
    <w:rsid w:val="009B6D73"/>
    <w:rsid w:val="009C00CB"/>
    <w:rsid w:val="009D17F3"/>
    <w:rsid w:val="009D5DFD"/>
    <w:rsid w:val="00A0594E"/>
    <w:rsid w:val="00A46322"/>
    <w:rsid w:val="00A649EF"/>
    <w:rsid w:val="00A76582"/>
    <w:rsid w:val="00A92F0F"/>
    <w:rsid w:val="00AD6EFF"/>
    <w:rsid w:val="00B00142"/>
    <w:rsid w:val="00B2517C"/>
    <w:rsid w:val="00B430D0"/>
    <w:rsid w:val="00B51A9D"/>
    <w:rsid w:val="00B76AF3"/>
    <w:rsid w:val="00B847AE"/>
    <w:rsid w:val="00B97676"/>
    <w:rsid w:val="00BA3150"/>
    <w:rsid w:val="00BB7490"/>
    <w:rsid w:val="00BD2DD4"/>
    <w:rsid w:val="00BD5BED"/>
    <w:rsid w:val="00BD6076"/>
    <w:rsid w:val="00BF4EE4"/>
    <w:rsid w:val="00BF5AAE"/>
    <w:rsid w:val="00C4329E"/>
    <w:rsid w:val="00C50D22"/>
    <w:rsid w:val="00C60CF3"/>
    <w:rsid w:val="00C97907"/>
    <w:rsid w:val="00CA462A"/>
    <w:rsid w:val="00CC2809"/>
    <w:rsid w:val="00CC306F"/>
    <w:rsid w:val="00CF27FC"/>
    <w:rsid w:val="00D025C3"/>
    <w:rsid w:val="00D15CF1"/>
    <w:rsid w:val="00D21078"/>
    <w:rsid w:val="00D71BC1"/>
    <w:rsid w:val="00D9297A"/>
    <w:rsid w:val="00DC4579"/>
    <w:rsid w:val="00DD2AEE"/>
    <w:rsid w:val="00DE3FAB"/>
    <w:rsid w:val="00DF0A2E"/>
    <w:rsid w:val="00DF10C3"/>
    <w:rsid w:val="00DF33D8"/>
    <w:rsid w:val="00E23A65"/>
    <w:rsid w:val="00E84C3F"/>
    <w:rsid w:val="00EA5468"/>
    <w:rsid w:val="00EA7E69"/>
    <w:rsid w:val="00ED3775"/>
    <w:rsid w:val="00F00FE8"/>
    <w:rsid w:val="00F14A5C"/>
    <w:rsid w:val="00F3112C"/>
    <w:rsid w:val="00F92623"/>
    <w:rsid w:val="00FE3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018E4"/>
  <w15:docId w15:val="{C9D067BA-9E3E-42D8-B6F9-AC6964CD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31A"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2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565B-EBE4-4E7C-9BB0-114982DF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Hülya BULUT ADIYAMAN</cp:lastModifiedBy>
  <cp:revision>2</cp:revision>
  <cp:lastPrinted>2025-03-19T08:45:00Z</cp:lastPrinted>
  <dcterms:created xsi:type="dcterms:W3CDTF">2026-04-22T17:11:00Z</dcterms:created>
  <dcterms:modified xsi:type="dcterms:W3CDTF">2026-04-22T17:11:00Z</dcterms:modified>
</cp:coreProperties>
</file>