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93C5472" w14:textId="4BF98FE6" w:rsidR="00B76AF3" w:rsidRPr="00684FF9" w:rsidRDefault="00B76AF3" w:rsidP="00E23DF7">
            <w:pPr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Yoğun bakımda mevcut ileri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hemodinamik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monitörü ile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hemodinamisi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bozulan hastalarda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pulmoner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arter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kateterizasyonuna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gerek kalmadan ve bunun neden olabileceği çeşitli komplikasyon risklerini almadan </w:t>
            </w:r>
            <w:r w:rsidR="00E23DF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işlemle ilgili 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parametreleri çok kısa sürede elde edebilmeli ve tedaviy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 buna göre yönlendirebilme amacıyla üretilmiş olmalıdır.</w:t>
            </w:r>
          </w:p>
          <w:p w14:paraId="0699DBCB" w14:textId="56C5F022" w:rsidR="00696F04" w:rsidRPr="00CC2809" w:rsidRDefault="00696F04" w:rsidP="00E23DF7">
            <w:pPr>
              <w:pStyle w:val="ListeParagraf"/>
              <w:spacing w:before="120" w:after="120" w:line="360" w:lineRule="auto"/>
              <w:ind w:left="1080"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494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E3323A4" w14:textId="4B658A75" w:rsidR="00B76AF3" w:rsidRPr="00CE1217" w:rsidRDefault="00B76AF3" w:rsidP="00E23DF7">
            <w:pPr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76A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Monitorizasyon</w:t>
            </w:r>
            <w:proofErr w:type="spellEnd"/>
            <w:r w:rsidRPr="00B76A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kit içeriğinde </w:t>
            </w:r>
            <w:proofErr w:type="spellStart"/>
            <w:r w:rsidRPr="00B76A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enjektat</w:t>
            </w:r>
            <w:proofErr w:type="spellEnd"/>
            <w:r w:rsidRPr="00B76A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ısı </w:t>
            </w:r>
            <w:proofErr w:type="spellStart"/>
            <w:r w:rsidRPr="00B76A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sensörü</w:t>
            </w:r>
            <w:proofErr w:type="spellEnd"/>
            <w:r w:rsidRPr="00B76AF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tekli basınç seti içer</w:t>
            </w:r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</w:t>
            </w:r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="00DC0DC8"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Kateter</w:t>
            </w:r>
            <w:proofErr w:type="spellEnd"/>
            <w:r w:rsidR="00DC0DC8"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DC0DC8"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seldinger</w:t>
            </w:r>
            <w:proofErr w:type="spellEnd"/>
            <w:r w:rsidR="00DC0DC8"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tekniği ile arterlerden yerleştirilerek kullan</w:t>
            </w:r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ılabilen)</w:t>
            </w:r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E23DF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</w:t>
            </w:r>
            <w:proofErr w:type="spellStart"/>
            <w:r w:rsidR="00E23DF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dop</w:t>
            </w:r>
            <w:r w:rsidR="00B825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 w:rsidR="00E23DF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</w:t>
            </w:r>
            <w:proofErr w:type="spellEnd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probu</w:t>
            </w:r>
            <w:proofErr w:type="spellEnd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gramEnd"/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nazal/oral yolla </w:t>
            </w:r>
            <w:proofErr w:type="spellStart"/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özafagus</w:t>
            </w:r>
            <w:proofErr w:type="spellEnd"/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bölgesine yerleştirilerek kullanılan) tipleri mevcut olmalı</w:t>
            </w:r>
            <w:r w:rsidR="006B64BF"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77A43C79" w14:textId="409D5E3F" w:rsidR="00B430D0" w:rsidRDefault="00CC2809" w:rsidP="00E23DF7">
            <w:pPr>
              <w:pStyle w:val="ListeParagraf"/>
              <w:numPr>
                <w:ilvl w:val="0"/>
                <w:numId w:val="20"/>
              </w:numPr>
              <w:suppressAutoHyphens/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809">
              <w:rPr>
                <w:rFonts w:ascii="Times New Roman" w:hAnsi="Times New Roman"/>
                <w:sz w:val="24"/>
                <w:szCs w:val="24"/>
              </w:rPr>
              <w:t xml:space="preserve">Erişkin </w:t>
            </w:r>
            <w:r w:rsidR="006B64BF">
              <w:rPr>
                <w:rFonts w:ascii="Times New Roman" w:hAnsi="Times New Roman"/>
                <w:sz w:val="24"/>
                <w:szCs w:val="24"/>
              </w:rPr>
              <w:t>ve</w:t>
            </w:r>
            <w:r w:rsidRPr="00CC2809">
              <w:rPr>
                <w:rFonts w:ascii="Times New Roman" w:hAnsi="Times New Roman"/>
                <w:sz w:val="24"/>
                <w:szCs w:val="24"/>
              </w:rPr>
              <w:t xml:space="preserve"> pediatrik hastalarda kullanıma uygun</w:t>
            </w:r>
            <w:r w:rsidR="006B64BF">
              <w:rPr>
                <w:rFonts w:ascii="Times New Roman" w:hAnsi="Times New Roman"/>
                <w:sz w:val="24"/>
                <w:szCs w:val="24"/>
              </w:rPr>
              <w:t xml:space="preserve"> 2 farklı tipi olmalıdır.</w:t>
            </w:r>
          </w:p>
          <w:p w14:paraId="11D8E40A" w14:textId="06837A44" w:rsidR="006B64BF" w:rsidRPr="00696F04" w:rsidRDefault="00E23DF7" w:rsidP="00E23DF7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EDD">
              <w:rPr>
                <w:rFonts w:ascii="Times New Roman" w:hAnsi="Times New Roman"/>
                <w:sz w:val="24"/>
                <w:szCs w:val="24"/>
              </w:rPr>
              <w:t>Latex</w:t>
            </w:r>
            <w:proofErr w:type="spellEnd"/>
            <w:r w:rsidRPr="00577EDD">
              <w:rPr>
                <w:rFonts w:ascii="Times New Roman" w:hAnsi="Times New Roman"/>
                <w:sz w:val="24"/>
                <w:szCs w:val="24"/>
              </w:rPr>
              <w:t xml:space="preserve"> içermemelidir.</w:t>
            </w:r>
          </w:p>
        </w:tc>
      </w:tr>
      <w:tr w:rsidR="004B7494" w14:paraId="2F1E0A46" w14:textId="77777777" w:rsidTr="00CE1217">
        <w:trPr>
          <w:trHeight w:val="3855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0465FE8" w14:textId="3614B9CE" w:rsidR="00E23DF7" w:rsidRPr="00E23DF7" w:rsidRDefault="00E23DF7" w:rsidP="00E23DF7">
            <w:pPr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asınç setinin </w:t>
            </w:r>
            <w:proofErr w:type="spellStart"/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konnektörü</w:t>
            </w:r>
            <w:proofErr w:type="spellEnd"/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olmalı ve bu </w:t>
            </w:r>
            <w:proofErr w:type="spellStart"/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konnektör</w:t>
            </w:r>
            <w:proofErr w:type="spellEnd"/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cihaza ait kabloya uyumlu olmalıdır.</w:t>
            </w:r>
          </w:p>
          <w:p w14:paraId="3DB587CF" w14:textId="117D9295" w:rsidR="00B76AF3" w:rsidRPr="00684FF9" w:rsidRDefault="00B76AF3" w:rsidP="00E23DF7">
            <w:pPr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Kataterler ile birlikte kullanılacak cihaz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less-invazive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transpulmoner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termodilüsyon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teknolojisi veya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puls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kontür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analizi teknolojisi </w:t>
            </w:r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veya </w:t>
            </w:r>
            <w:proofErr w:type="spellStart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noninvaziv</w:t>
            </w:r>
            <w:proofErr w:type="spellEnd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dop</w:t>
            </w:r>
            <w:r w:rsidR="00B825A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</w:t>
            </w:r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ler</w:t>
            </w:r>
            <w:proofErr w:type="spellEnd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yöntemi </w:t>
            </w:r>
            <w:r w:rsidR="00DC0DC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ile </w:t>
            </w:r>
            <w:r w:rsidR="00DC0DC8"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çalışmakta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ve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pulmoner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arter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kateterizasyonu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gerektirmeden sürekli kardiyak debi ve hemodinamik takip yapabilmelidir. </w:t>
            </w:r>
          </w:p>
          <w:p w14:paraId="1B15D1CB" w14:textId="0AC5F95F" w:rsidR="007D46FC" w:rsidRPr="007D46FC" w:rsidRDefault="00B76AF3" w:rsidP="00E23DF7">
            <w:pPr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Kardiyak debi ölçümünün </w:t>
            </w:r>
            <w:r w:rsidR="00DC0DC8"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yanında </w:t>
            </w:r>
            <w:r w:rsidR="00DC0DC8"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ITBV</w:t>
            </w:r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Intra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Thoracic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Blood Volume) değeri veya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Ea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CE1217"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(</w:t>
            </w:r>
            <w:proofErr w:type="spellStart"/>
            <w:r w:rsidR="00CE1217"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Arteriyel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Elastans</w:t>
            </w:r>
            <w:proofErr w:type="spellEnd"/>
            <w:r w:rsidRPr="0014783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değeri</w:t>
            </w:r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FTC (</w:t>
            </w:r>
            <w:proofErr w:type="spellStart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flow</w:t>
            </w:r>
            <w:proofErr w:type="spellEnd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time </w:t>
            </w:r>
            <w:proofErr w:type="spellStart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corrected</w:t>
            </w:r>
            <w:proofErr w:type="spellEnd"/>
            <w:r w:rsidR="006B64B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hastanın volüm durumu hakkında hekime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CVP'den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daha güvenilir bir indikatör sunmalıdır.</w:t>
            </w:r>
          </w:p>
        </w:tc>
      </w:tr>
      <w:tr w:rsidR="00CE1217" w14:paraId="53690A85" w14:textId="77777777" w:rsidTr="004B7494">
        <w:trPr>
          <w:trHeight w:val="6765"/>
        </w:trPr>
        <w:tc>
          <w:tcPr>
            <w:tcW w:w="1537" w:type="dxa"/>
          </w:tcPr>
          <w:p w14:paraId="300B3CE8" w14:textId="77777777" w:rsidR="00CE1217" w:rsidRPr="004B7494" w:rsidRDefault="00CE1217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BB8864B" w14:textId="77777777" w:rsidR="00CE1217" w:rsidRPr="00684FF9" w:rsidRDefault="00CE1217" w:rsidP="00E23DF7">
            <w:pPr>
              <w:numPr>
                <w:ilvl w:val="0"/>
                <w:numId w:val="20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Yoğun bakımda mevcut ileri hemodinamik monitörü ile hemodinamisi bozulan hastalarda aşağıd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 verilen 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parametreler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ile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pulmoner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arter </w:t>
            </w:r>
            <w:proofErr w:type="spellStart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kateterizasyonuna</w:t>
            </w:r>
            <w:proofErr w:type="spellEnd"/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gerek kalmadan ve bunun neden olabilece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çeşitli komplikasyon risklerini almadan aşağıdaki parametreleri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en az 7 sini 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çok kısa sürede elde edebilmeli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bu sayede hekim tarafından </w:t>
            </w:r>
            <w:r w:rsidRPr="00684FF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tedaviyi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planlanabilmelidir. </w:t>
            </w:r>
          </w:p>
          <w:p w14:paraId="0104BEB8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 xml:space="preserve">Cardiac Output </w:t>
            </w:r>
          </w:p>
          <w:p w14:paraId="2E1559A8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CI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>Cardiac Index</w:t>
            </w:r>
          </w:p>
          <w:p w14:paraId="041D6072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SVI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>Stroke Volume Index</w:t>
            </w:r>
          </w:p>
          <w:p w14:paraId="7609AF4B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SVV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 xml:space="preserve">Stroke Volume Variation </w:t>
            </w:r>
          </w:p>
          <w:p w14:paraId="6C96C971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SVRI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 xml:space="preserve">Systemic Vascular Resistance Index </w:t>
            </w:r>
          </w:p>
          <w:p w14:paraId="6FBAD993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CPI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 xml:space="preserve">Cardiac Power Index </w:t>
            </w:r>
          </w:p>
          <w:p w14:paraId="6E39E166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proofErr w:type="spellStart"/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DPmx</w:t>
            </w:r>
            <w:proofErr w:type="spellEnd"/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>Left Ventricular contractility</w:t>
            </w:r>
          </w:p>
          <w:p w14:paraId="3D88EFC7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HR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>Hearth Rate</w:t>
            </w:r>
          </w:p>
          <w:p w14:paraId="49638A85" w14:textId="77777777" w:rsidR="00CE1217" w:rsidRPr="00CE1217" w:rsidRDefault="00CE1217" w:rsidP="00E23DF7">
            <w:pPr>
              <w:pStyle w:val="ListeParagra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</w:pP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AP</w:t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</w:r>
            <w:r w:rsidRPr="00CE121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ab/>
              <w:t>Arterial pressure</w:t>
            </w:r>
          </w:p>
          <w:p w14:paraId="3A2C5FEE" w14:textId="77777777" w:rsidR="00CE1217" w:rsidRPr="00577EDD" w:rsidRDefault="00CE1217" w:rsidP="00E23DF7">
            <w:pPr>
              <w:spacing w:before="120" w:after="120" w:line="360" w:lineRule="auto"/>
              <w:ind w:right="29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4878598B" w14:textId="77777777" w:rsidR="00E23DF7" w:rsidRDefault="005C0D2F" w:rsidP="00E23DF7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CC2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Steril ve </w:t>
            </w:r>
            <w:r w:rsidR="00B2517C" w:rsidRPr="00CC2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Sterilizeyi bozmadan açılabilecek şekilde tek tek paketlenmiş</w:t>
            </w:r>
            <w:r w:rsidR="00B76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DC0D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tek </w:t>
            </w:r>
            <w:r w:rsidR="00CE1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kullanımlık olmalı</w:t>
            </w:r>
            <w:r w:rsidR="00E23D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dır.</w:t>
            </w:r>
          </w:p>
          <w:p w14:paraId="7EC8CFB0" w14:textId="421D09F8" w:rsidR="005C0D2F" w:rsidRPr="00CC2809" w:rsidRDefault="00E23DF7" w:rsidP="00E23DF7">
            <w:pPr>
              <w:pStyle w:val="ListeParagraf"/>
              <w:numPr>
                <w:ilvl w:val="0"/>
                <w:numId w:val="20"/>
              </w:numPr>
              <w:shd w:val="clear" w:color="auto" w:fill="FFFFFF"/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</w:t>
            </w:r>
            <w:r w:rsidR="00B76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rün </w:t>
            </w:r>
            <w:r w:rsidR="00B825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orijinal </w:t>
            </w:r>
            <w:bookmarkStart w:id="0" w:name="_GoBack"/>
            <w:bookmarkEnd w:id="0"/>
            <w:r w:rsidR="00B76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ambalajı üzerinde son kullanma </w:t>
            </w:r>
            <w:r w:rsidR="00CE1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tarihi,</w:t>
            </w:r>
            <w:r w:rsidR="00B76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UBB ve LOT </w:t>
            </w:r>
            <w:r w:rsidR="00CE12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bilgileri </w:t>
            </w:r>
            <w:r w:rsidR="00CE1217" w:rsidRPr="00CC2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olmalıdır</w:t>
            </w:r>
            <w:r w:rsidR="00B2517C" w:rsidRPr="00CC28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4F98AE34" w14:textId="77777777" w:rsidR="007D46FC" w:rsidRPr="007D46FC" w:rsidRDefault="007D46FC" w:rsidP="00E23DF7">
            <w:pPr>
              <w:shd w:val="clear" w:color="auto" w:fill="FFFFFF"/>
              <w:spacing w:before="120" w:after="120" w:line="360" w:lineRule="auto"/>
              <w:ind w:left="360" w:right="29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1B153529" w14:textId="616BE669" w:rsidR="00195FEB" w:rsidRPr="00B2517C" w:rsidRDefault="00195FEB" w:rsidP="00E23DF7">
            <w:p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5B3ED" w14:textId="77777777" w:rsidR="004900AD" w:rsidRDefault="004900AD" w:rsidP="00B2517C">
      <w:pPr>
        <w:spacing w:after="0" w:line="240" w:lineRule="auto"/>
      </w:pPr>
      <w:r>
        <w:separator/>
      </w:r>
    </w:p>
  </w:endnote>
  <w:endnote w:type="continuationSeparator" w:id="0">
    <w:p w14:paraId="648CF35C" w14:textId="77777777" w:rsidR="004900AD" w:rsidRDefault="004900AD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7BFAB" w14:textId="77777777" w:rsidR="005140F8" w:rsidRDefault="005140F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BF70" w14:textId="77777777" w:rsidR="005140F8" w:rsidRDefault="005140F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DF23F" w14:textId="77777777" w:rsidR="005140F8" w:rsidRDefault="005140F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2449C" w14:textId="77777777" w:rsidR="004900AD" w:rsidRDefault="004900AD" w:rsidP="00B2517C">
      <w:pPr>
        <w:spacing w:after="0" w:line="240" w:lineRule="auto"/>
      </w:pPr>
      <w:r>
        <w:separator/>
      </w:r>
    </w:p>
  </w:footnote>
  <w:footnote w:type="continuationSeparator" w:id="0">
    <w:p w14:paraId="67E4F8E6" w14:textId="77777777" w:rsidR="004900AD" w:rsidRDefault="004900AD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30D60" w14:textId="77777777" w:rsidR="005140F8" w:rsidRDefault="005140F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6DEAD91A" w:rsidR="00B2517C" w:rsidRPr="00E23DF7" w:rsidRDefault="002D7AC6" w:rsidP="00E23DF7">
    <w:pPr>
      <w:spacing w:after="0" w:line="360" w:lineRule="auto"/>
      <w:jc w:val="both"/>
      <w:rPr>
        <w:rFonts w:ascii="Times New Roman" w:hAnsi="Times New Roman" w:cs="Times New Roman"/>
        <w:b/>
        <w:sz w:val="24"/>
        <w:szCs w:val="24"/>
        <w:u w:val="single"/>
      </w:rPr>
    </w:pPr>
    <w:r w:rsidRPr="00812B28">
      <w:rPr>
        <w:rFonts w:ascii="Times New Roman" w:hAnsi="Times New Roman" w:cs="Times New Roman"/>
        <w:b/>
        <w:sz w:val="24"/>
        <w:szCs w:val="24"/>
        <w:u w:val="single"/>
      </w:rPr>
      <w:t xml:space="preserve">SMT1195 </w:t>
    </w:r>
    <w:r w:rsidR="00E23DF7" w:rsidRPr="00E23DF7">
      <w:rPr>
        <w:rFonts w:ascii="Times New Roman" w:hAnsi="Times New Roman" w:cs="Times New Roman"/>
        <w:b/>
        <w:sz w:val="24"/>
        <w:szCs w:val="24"/>
        <w:u w:val="single"/>
      </w:rPr>
      <w:t>KATETER VE ÖLÇÜM SETİ, SÜREKLİ KARDİYAK DEBİ ÖLÇÜMÜ SİSTEMİ İÇİN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531AF" w14:textId="77777777" w:rsidR="005140F8" w:rsidRDefault="005140F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B23C1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061F48"/>
    <w:multiLevelType w:val="hybridMultilevel"/>
    <w:tmpl w:val="A8EAB8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17"/>
  </w:num>
  <w:num w:numId="10">
    <w:abstractNumId w:val="2"/>
  </w:num>
  <w:num w:numId="11">
    <w:abstractNumId w:val="5"/>
  </w:num>
  <w:num w:numId="12">
    <w:abstractNumId w:val="7"/>
  </w:num>
  <w:num w:numId="13">
    <w:abstractNumId w:val="12"/>
  </w:num>
  <w:num w:numId="14">
    <w:abstractNumId w:val="4"/>
  </w:num>
  <w:num w:numId="15">
    <w:abstractNumId w:val="18"/>
  </w:num>
  <w:num w:numId="16">
    <w:abstractNumId w:val="10"/>
  </w:num>
  <w:num w:numId="17">
    <w:abstractNumId w:val="14"/>
  </w:num>
  <w:num w:numId="18">
    <w:abstractNumId w:val="15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41BB1"/>
    <w:rsid w:val="00194192"/>
    <w:rsid w:val="00195FEB"/>
    <w:rsid w:val="002618E3"/>
    <w:rsid w:val="002B66F4"/>
    <w:rsid w:val="002D7AC6"/>
    <w:rsid w:val="00331203"/>
    <w:rsid w:val="00390E24"/>
    <w:rsid w:val="00445ABB"/>
    <w:rsid w:val="004900AD"/>
    <w:rsid w:val="004B7494"/>
    <w:rsid w:val="005140F8"/>
    <w:rsid w:val="005C0D2F"/>
    <w:rsid w:val="005E254C"/>
    <w:rsid w:val="0060330E"/>
    <w:rsid w:val="00652DC9"/>
    <w:rsid w:val="00696F04"/>
    <w:rsid w:val="006B64BF"/>
    <w:rsid w:val="00747A9B"/>
    <w:rsid w:val="007920EC"/>
    <w:rsid w:val="007D46FC"/>
    <w:rsid w:val="00904E2A"/>
    <w:rsid w:val="00936492"/>
    <w:rsid w:val="009B1CE7"/>
    <w:rsid w:val="00A0594E"/>
    <w:rsid w:val="00A76582"/>
    <w:rsid w:val="00B10861"/>
    <w:rsid w:val="00B2517C"/>
    <w:rsid w:val="00B430D0"/>
    <w:rsid w:val="00B76AF3"/>
    <w:rsid w:val="00B825AE"/>
    <w:rsid w:val="00BA3150"/>
    <w:rsid w:val="00BD5BED"/>
    <w:rsid w:val="00BD6076"/>
    <w:rsid w:val="00BF4EE4"/>
    <w:rsid w:val="00BF5AAE"/>
    <w:rsid w:val="00C60CF3"/>
    <w:rsid w:val="00CC2809"/>
    <w:rsid w:val="00CE0614"/>
    <w:rsid w:val="00CE1217"/>
    <w:rsid w:val="00D21078"/>
    <w:rsid w:val="00DC0DC8"/>
    <w:rsid w:val="00DE3FAB"/>
    <w:rsid w:val="00E23DF7"/>
    <w:rsid w:val="00EA5468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DC58-D398-4549-A557-598B6453F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Nihal TÜRKMEN</cp:lastModifiedBy>
  <cp:revision>3</cp:revision>
  <dcterms:created xsi:type="dcterms:W3CDTF">2022-06-30T07:26:00Z</dcterms:created>
  <dcterms:modified xsi:type="dcterms:W3CDTF">2022-07-23T07:11:00Z</dcterms:modified>
</cp:coreProperties>
</file>