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04CAF" w14:paraId="5791AC46" w14:textId="77777777" w:rsidTr="009C68E7">
        <w:trPr>
          <w:trHeight w:val="1026"/>
        </w:trPr>
        <w:tc>
          <w:tcPr>
            <w:tcW w:w="1537" w:type="dxa"/>
          </w:tcPr>
          <w:p w14:paraId="6B57E4C5" w14:textId="282A24BD" w:rsidR="004B7494" w:rsidRPr="00E04CAF" w:rsidRDefault="009C68E7" w:rsidP="009C68E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  <w:r w:rsidR="000217D1" w:rsidRPr="00E04C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03" w:type="dxa"/>
            <w:shd w:val="clear" w:color="auto" w:fill="auto"/>
          </w:tcPr>
          <w:p w14:paraId="0699DBCB" w14:textId="61384F1C" w:rsidR="00311837" w:rsidRPr="00E04CAF" w:rsidRDefault="006C113D" w:rsidP="009C68E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057666"/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Sensör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kızıl ötesi yöntemi ile </w:t>
            </w:r>
            <w:r w:rsidR="007F7A06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 az 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çift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dedektörlü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olarak </w:t>
            </w:r>
            <w:r w:rsidR="007F7A06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doku </w:t>
            </w:r>
            <w:proofErr w:type="spellStart"/>
            <w:r w:rsidR="007F7A06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oksijenenasyon</w:t>
            </w:r>
            <w:proofErr w:type="spellEnd"/>
            <w:r w:rsidR="007F7A06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ölçümünü (rSO2) </w:t>
            </w:r>
            <w:r w:rsidR="007F7A06" w:rsidRPr="00E04CAF">
              <w:rPr>
                <w:rFonts w:ascii="Times New Roman" w:hAnsi="Times New Roman" w:cs="Times New Roman"/>
                <w:color w:val="000000"/>
                <w:sz w:val="24"/>
              </w:rPr>
              <w:t xml:space="preserve">veya (StO2) 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sürekli olarak yapabil</w:t>
            </w:r>
            <w:r w:rsidR="00504CA6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ek amacıyla </w:t>
            </w:r>
            <w:r w:rsidR="00504CA6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tasarlanmış 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olmalıdır.</w:t>
            </w:r>
            <w:bookmarkEnd w:id="0"/>
          </w:p>
        </w:tc>
      </w:tr>
      <w:tr w:rsidR="004B7494" w:rsidRPr="00E04CAF" w14:paraId="48B12155" w14:textId="77777777" w:rsidTr="00386DB2">
        <w:trPr>
          <w:trHeight w:val="1554"/>
        </w:trPr>
        <w:tc>
          <w:tcPr>
            <w:tcW w:w="1537" w:type="dxa"/>
          </w:tcPr>
          <w:p w14:paraId="2175B3CA" w14:textId="77777777" w:rsidR="009C68E7" w:rsidRPr="00E04CAF" w:rsidRDefault="004B7494" w:rsidP="009C68E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</w:p>
          <w:p w14:paraId="0B36AB79" w14:textId="0DE4E6C4" w:rsidR="004B7494" w:rsidRPr="00E04CAF" w:rsidRDefault="004B7494" w:rsidP="009C68E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</w:tcPr>
          <w:p w14:paraId="216CDC75" w14:textId="15979C4C" w:rsidR="006C113D" w:rsidRPr="00E04CAF" w:rsidRDefault="00152C36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r w:rsidR="00630F85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eni doğan</w:t>
            </w:r>
            <w:r w:rsidR="006C113D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pediatrik ve yetişkin 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tipte seçenekleri olmalıdır.</w:t>
            </w:r>
          </w:p>
          <w:p w14:paraId="7453DB5C" w14:textId="21B97F2A" w:rsidR="000217D1" w:rsidRPr="00E04CAF" w:rsidRDefault="000217D1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Sensörün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standart ölçüm yapan veya ölçüm aldığı bölgenin delta hemogl</w:t>
            </w:r>
            <w:r w:rsidR="006E2F75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bin,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oksihemogl</w:t>
            </w:r>
            <w:r w:rsidR="006E2F75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bin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değişim yüzdesini ve oranını göstertebilen tipleri olmalıdır.</w:t>
            </w:r>
          </w:p>
          <w:p w14:paraId="11D8E40A" w14:textId="578C3E6B" w:rsidR="005506A6" w:rsidRPr="00E04CAF" w:rsidRDefault="00162892" w:rsidP="009C68E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Sensörün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yapışkan bandı, alerji yapmayan özellikte olmalı ve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latex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içermemelidir.</w:t>
            </w:r>
          </w:p>
        </w:tc>
      </w:tr>
      <w:tr w:rsidR="00DD6A55" w:rsidRPr="00E04CAF" w14:paraId="71C02945" w14:textId="77777777" w:rsidTr="00386DB2">
        <w:trPr>
          <w:trHeight w:val="9374"/>
        </w:trPr>
        <w:tc>
          <w:tcPr>
            <w:tcW w:w="1537" w:type="dxa"/>
          </w:tcPr>
          <w:p w14:paraId="53A7A3CE" w14:textId="77777777" w:rsidR="00DD6A55" w:rsidRPr="00E04CAF" w:rsidRDefault="00DD6A55" w:rsidP="00DD6A55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925D0CE" w14:textId="77777777" w:rsidR="00DD6A55" w:rsidRPr="00E04CAF" w:rsidRDefault="00DD6A55" w:rsidP="00400B4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511AA49" w14:textId="614402A1" w:rsidR="00DD6A55" w:rsidRPr="00E04CAF" w:rsidRDefault="00DD6A55" w:rsidP="00DD6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3" w:type="dxa"/>
            <w:shd w:val="clear" w:color="auto" w:fill="auto"/>
          </w:tcPr>
          <w:p w14:paraId="5C22C020" w14:textId="415377D7" w:rsidR="00DD6A55" w:rsidRPr="00E04CAF" w:rsidRDefault="00DD6A55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215057702"/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</w:t>
            </w:r>
            <w:r w:rsidR="009C68E7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rler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aşağıda özellikleri belirtilen </w:t>
            </w:r>
            <w:r w:rsidR="00B3112B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doku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oksimetre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cihazı ile uyumlu olmalıdır ve belirtilen tüm fonksiyonları sağlamalıdır.</w:t>
            </w:r>
          </w:p>
          <w:bookmarkEnd w:id="1"/>
          <w:p w14:paraId="673F0A32" w14:textId="4F1E6558" w:rsidR="00DD6A55" w:rsidRPr="00E04CAF" w:rsidRDefault="00DD6A55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Cihaz ekranı en az 10 </w:t>
            </w:r>
            <w:proofErr w:type="spellStart"/>
            <w:r w:rsidRPr="00E04C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inch</w:t>
            </w:r>
            <w:proofErr w:type="spellEnd"/>
            <w:r w:rsidRPr="00E04C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büyüklüğünde renkli ve dokunmatik veya tuşlu özellikte olmalıdır.</w:t>
            </w:r>
          </w:p>
          <w:p w14:paraId="3CFB80CE" w14:textId="77777777" w:rsidR="00DD6A55" w:rsidRPr="00E04CAF" w:rsidRDefault="00DD6A55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Cihaz, LED tabanlı teknoloji ile en az 2 dalga boyunda çalışmalıdır.</w:t>
            </w:r>
          </w:p>
          <w:p w14:paraId="17893CB9" w14:textId="09D5CF12" w:rsidR="00DD6A55" w:rsidRPr="00E04CAF" w:rsidRDefault="00DD6A55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215057736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Cihaz, doku oksijen doygunluğunu </w:t>
            </w:r>
            <w:r w:rsidR="00B3112B" w:rsidRPr="00E04CAF">
              <w:rPr>
                <w:rFonts w:ascii="Times New Roman" w:hAnsi="Times New Roman" w:cs="Times New Roman"/>
                <w:color w:val="000000"/>
                <w:sz w:val="24"/>
              </w:rPr>
              <w:t>(%rSO2) veya (StO2) i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zlemek için yakın kızılötesi spektroskopi (NIRS) teknolojisini kullanarak ölçüm yapmalıdır.</w:t>
            </w:r>
          </w:p>
          <w:bookmarkEnd w:id="2"/>
          <w:p w14:paraId="6A75A5E6" w14:textId="3B67EEC4" w:rsidR="00B3112B" w:rsidRPr="00E04CAF" w:rsidRDefault="00B3112B" w:rsidP="009C68E7">
            <w:pPr>
              <w:numPr>
                <w:ilvl w:val="0"/>
                <w:numId w:val="8"/>
              </w:numPr>
              <w:spacing w:after="0" w:line="360" w:lineRule="auto"/>
              <w:ind w:left="495"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Monitör ekranında bölgesel oksijen </w:t>
            </w:r>
            <w:proofErr w:type="spellStart"/>
            <w:r w:rsidRPr="00E0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satürasyon</w:t>
            </w:r>
            <w:proofErr w:type="spellEnd"/>
            <w:r w:rsidRPr="00E04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değeri </w:t>
            </w:r>
            <w:r w:rsidRPr="00E04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 alarm limiti ve üst alarm limiti</w:t>
            </w:r>
            <w:r w:rsidR="007A2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2B28" w:rsidRPr="007A2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%15-%90, üst alarm limitinin %20-%95 aralığında ve en fazla ±5</w:t>
            </w:r>
            <w:r w:rsidR="00DD69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3" w:name="_GoBack"/>
            <w:bookmarkEnd w:id="3"/>
            <w:r w:rsidRPr="00E04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hassasiyetle ayarlanabilmelidir</w:t>
            </w:r>
            <w:r w:rsidRPr="00E0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9E2A176" w14:textId="6E21468C" w:rsidR="00DD6A55" w:rsidRPr="00E04CAF" w:rsidRDefault="00DD6A55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ekranında %rSO2 değeri, ayarlanan alt alarm limitinin altında kaldığı süreyi ve seviyeyi belirlemek için eğri altında kalan alan değeri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monitorize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edilmelidir</w:t>
            </w:r>
          </w:p>
          <w:p w14:paraId="0E4B6DF3" w14:textId="312ED2B4" w:rsidR="00DD6A55" w:rsidRPr="00E04CAF" w:rsidRDefault="00DD6A55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Hlk215057756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Modül veya monitör </w:t>
            </w:r>
            <w:r w:rsidR="00B3112B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doku 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oksijenlenmesini (%rSO2</w:t>
            </w:r>
            <w:r w:rsidR="00B3112B" w:rsidRPr="00E04CAF">
              <w:rPr>
                <w:rFonts w:ascii="Times New Roman" w:hAnsi="Times New Roman" w:cs="Times New Roman"/>
                <w:color w:val="000000"/>
                <w:sz w:val="24"/>
              </w:rPr>
              <w:t xml:space="preserve">) veya (StO2) ile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non-invaziv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olarak ölçmelidir</w:t>
            </w:r>
            <w:r w:rsidR="00B3112B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bookmarkEnd w:id="4"/>
          <w:p w14:paraId="31BE6F4A" w14:textId="56229A1F" w:rsidR="00DD6A55" w:rsidRPr="00E04CAF" w:rsidRDefault="00DD6A55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Modül veya monitör her hastaya ait bölgesel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satürasyon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düşme ve yükselme yüzdesel oranlarının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monitörize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edilmesi amacıyla hastaya ilk uygulandığı andan itibaren alınan değer bazal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satürasyon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değeri olarak belirlenebilecek, bazal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satürasyon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değeri ile anlık ölçülen değer arasındaki fark ekranda gösterilecektir.</w:t>
            </w:r>
          </w:p>
        </w:tc>
      </w:tr>
      <w:tr w:rsidR="00152C36" w:rsidRPr="00E04CAF" w14:paraId="41DD7A8E" w14:textId="77777777" w:rsidTr="00386DB2">
        <w:trPr>
          <w:trHeight w:val="3036"/>
        </w:trPr>
        <w:tc>
          <w:tcPr>
            <w:tcW w:w="1537" w:type="dxa"/>
          </w:tcPr>
          <w:p w14:paraId="4661FF02" w14:textId="77777777" w:rsidR="00152C36" w:rsidRPr="00E04CAF" w:rsidRDefault="00152C36" w:rsidP="009C68E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CA20D02" w14:textId="52D7E950" w:rsidR="00152C36" w:rsidRPr="00E04CAF" w:rsidRDefault="00152C36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Hlk215057798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</w:t>
            </w:r>
            <w:r w:rsidR="006E7210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ekranında anlık bölgesel oksijen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</w:t>
            </w:r>
            <w:r w:rsidR="006E7210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rasyonu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değeri (%rSO2) </w:t>
            </w:r>
            <w:r w:rsidR="00B3112B" w:rsidRPr="00E04CAF">
              <w:rPr>
                <w:rFonts w:ascii="Times New Roman" w:hAnsi="Times New Roman" w:cs="Times New Roman"/>
                <w:color w:val="000000"/>
                <w:sz w:val="24"/>
              </w:rPr>
              <w:t xml:space="preserve">veya (StO2)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sensorlerin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yerleştirilmesi halinde hem sol hem de sağ bölgeden ölçülmeli ve ekranda aynı anda iki değer gösterilmelidir </w:t>
            </w:r>
            <w:r w:rsidR="00623BD5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ayrıca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aynı anda her iki değer için en az 24 saatlik trend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</w:t>
            </w:r>
            <w:r w:rsidR="006E7210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rizasyonuda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3880D7A4" w14:textId="36FCCC22" w:rsidR="00630F85" w:rsidRPr="00E04CAF" w:rsidRDefault="00152C36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Cihaz, </w:t>
            </w:r>
            <w:r w:rsidR="00B3112B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doku </w:t>
            </w:r>
            <w:proofErr w:type="spellStart"/>
            <w:r w:rsidR="00B3112B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oksijenasyonda</w:t>
            </w:r>
            <w:proofErr w:type="spellEnd"/>
            <w:r w:rsidR="00B3112B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%30 arter, %70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venöz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veya %25 arter, %75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venöz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</w:t>
            </w:r>
            <w:r w:rsidR="006E7210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rasyonlarının</w:t>
            </w:r>
            <w:proofErr w:type="spellEnd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toplamını sol ve sağ olarak ayrı ayrı ekranda göstermelidir.</w:t>
            </w:r>
            <w:bookmarkEnd w:id="5"/>
          </w:p>
        </w:tc>
      </w:tr>
      <w:tr w:rsidR="0017073F" w:rsidRPr="00E04CAF" w14:paraId="17A5157A" w14:textId="77777777" w:rsidTr="00386DB2">
        <w:trPr>
          <w:trHeight w:val="1640"/>
        </w:trPr>
        <w:tc>
          <w:tcPr>
            <w:tcW w:w="1537" w:type="dxa"/>
          </w:tcPr>
          <w:p w14:paraId="2E7CFBBE" w14:textId="77777777" w:rsidR="0017073F" w:rsidRPr="00E04CAF" w:rsidRDefault="0017073F" w:rsidP="00400B4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17073F" w:rsidRPr="00E04CAF" w:rsidRDefault="0017073F" w:rsidP="00400B4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BB2BE98" w14:textId="65A55704" w:rsidR="00152C36" w:rsidRPr="00E04CAF" w:rsidRDefault="00630F85" w:rsidP="009C68E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 200</w:t>
            </w:r>
            <w:r w:rsidR="00152C36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adet sensor için 1 adet cihaz </w:t>
            </w:r>
            <w:r w:rsidR="00623BD5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152C36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ağlık </w:t>
            </w:r>
            <w:r w:rsidR="00623BD5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152C36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esisine kulanım amaçlı verilmelidir.</w:t>
            </w:r>
          </w:p>
          <w:p w14:paraId="2346AEDA" w14:textId="0241FAA9" w:rsidR="00152C36" w:rsidRPr="00E04CAF" w:rsidRDefault="00152C36" w:rsidP="009C68E7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Cihaz</w:t>
            </w:r>
            <w:r w:rsidR="00623BD5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ın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hem trend hem de mutlak veya gerçek zamanlı ölçüm </w:t>
            </w:r>
            <w:r w:rsidR="00A92869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sapma oranı 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özelliği olmalıdır. Ürüne ait orijinal d</w:t>
            </w:r>
            <w:r w:rsidR="006E7210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kümanlarla veya ürün broşüründen bu husus teyit edi</w:t>
            </w:r>
            <w:r w:rsidR="00F14D9B"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lecektir.</w:t>
            </w:r>
          </w:p>
          <w:p w14:paraId="0FF05970" w14:textId="4ED25782" w:rsidR="00A92869" w:rsidRPr="00E04CAF" w:rsidRDefault="00A92869" w:rsidP="009C68E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215057822"/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Cihazın %rSO2 </w:t>
            </w:r>
            <w:r w:rsidR="00B3112B" w:rsidRPr="00E04CAF">
              <w:rPr>
                <w:rFonts w:ascii="Times New Roman" w:hAnsi="Times New Roman" w:cs="Times New Roman"/>
                <w:color w:val="000000"/>
                <w:sz w:val="24"/>
              </w:rPr>
              <w:t>veya</w:t>
            </w:r>
            <w:r w:rsidR="00B3112B" w:rsidRPr="00E04CAF">
              <w:rPr>
                <w:rFonts w:ascii="Times New Roman" w:hAnsi="Times New Roman" w:cs="Times New Roman"/>
                <w:color w:val="000000"/>
                <w:spacing w:val="40"/>
                <w:sz w:val="24"/>
              </w:rPr>
              <w:t xml:space="preserve"> </w:t>
            </w:r>
            <w:r w:rsidR="00B3112B" w:rsidRPr="00E04CAF">
              <w:rPr>
                <w:rFonts w:ascii="Times New Roman" w:hAnsi="Times New Roman" w:cs="Times New Roman"/>
                <w:color w:val="000000"/>
                <w:sz w:val="24"/>
              </w:rPr>
              <w:t xml:space="preserve">StO2 </w:t>
            </w:r>
            <w:r w:rsidRPr="00E04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değeri için anlık olçum sapma payı en fazla %5, trend ölçüm sapma payı en fazla %3 olmalıdır. Ürüne ait orijinal dokümanlarla veya broşüründen bu husus teyit edilmelidir.</w:t>
            </w:r>
          </w:p>
          <w:bookmarkEnd w:id="6"/>
          <w:p w14:paraId="75B2096E" w14:textId="48AF80E3" w:rsidR="009D471F" w:rsidRPr="00E04CAF" w:rsidRDefault="009D471F" w:rsidP="009C68E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AF">
              <w:rPr>
                <w:rFonts w:ascii="Times New Roman" w:eastAsia="Calibri" w:hAnsi="Times New Roman" w:cs="Times New Roman"/>
                <w:sz w:val="24"/>
                <w:szCs w:val="24"/>
              </w:rPr>
              <w:t>Ürünler orijinal ambalajında olmalı, üzerinde UBB ve lot Bilgisi belirtilmiş olmalıdır.</w:t>
            </w:r>
          </w:p>
          <w:p w14:paraId="1B153529" w14:textId="5E3C6A99" w:rsidR="004D3C6B" w:rsidRPr="00E04CAF" w:rsidRDefault="004D3C6B" w:rsidP="009C68E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Cihazda çıkacak bir problemde, mağduriyete yol </w:t>
            </w:r>
            <w:proofErr w:type="spellStart"/>
            <w:r w:rsidRPr="00E04CAF">
              <w:rPr>
                <w:rFonts w:ascii="Times New Roman" w:eastAsia="Times New Roman" w:hAnsi="Times New Roman" w:cs="Times New Roman"/>
                <w:sz w:val="24"/>
                <w:szCs w:val="24"/>
              </w:rPr>
              <w:t>açm</w:t>
            </w:r>
            <w:proofErr w:type="spellEnd"/>
            <w:r w:rsidR="00B3112B" w:rsidRPr="00E0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ayacak şekilde sağlık tesisinin bildiriminden itibaren </w:t>
            </w:r>
            <w:r w:rsidR="007201AA" w:rsidRPr="00E0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kısa süre </w:t>
            </w:r>
            <w:r w:rsidRPr="00E04CAF">
              <w:rPr>
                <w:rFonts w:ascii="Times New Roman" w:eastAsia="Times New Roman" w:hAnsi="Times New Roman" w:cs="Times New Roman"/>
                <w:sz w:val="24"/>
                <w:szCs w:val="24"/>
              </w:rPr>
              <w:t>içinde firma tarafından yenisi ile değişim sağlanmalıdır.</w:t>
            </w:r>
          </w:p>
        </w:tc>
      </w:tr>
    </w:tbl>
    <w:p w14:paraId="3335A9E9" w14:textId="77777777" w:rsidR="00331203" w:rsidRPr="00E04CAF" w:rsidRDefault="00331203" w:rsidP="00400B4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04C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6373A" w14:textId="77777777" w:rsidR="00C32153" w:rsidRDefault="00C32153" w:rsidP="00B2517C">
      <w:pPr>
        <w:spacing w:after="0" w:line="240" w:lineRule="auto"/>
      </w:pPr>
      <w:r>
        <w:separator/>
      </w:r>
    </w:p>
  </w:endnote>
  <w:endnote w:type="continuationSeparator" w:id="0">
    <w:p w14:paraId="5FA6763E" w14:textId="77777777" w:rsidR="00C32153" w:rsidRDefault="00C32153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B2FE4" w14:textId="77777777" w:rsidR="00C32153" w:rsidRDefault="00C32153" w:rsidP="00B2517C">
      <w:pPr>
        <w:spacing w:after="0" w:line="240" w:lineRule="auto"/>
      </w:pPr>
      <w:r>
        <w:separator/>
      </w:r>
    </w:p>
  </w:footnote>
  <w:footnote w:type="continuationSeparator" w:id="0">
    <w:p w14:paraId="3BDC1757" w14:textId="77777777" w:rsidR="00C32153" w:rsidRDefault="00C32153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846E" w14:textId="769FEE2C" w:rsidR="006C113D" w:rsidRPr="00110BE8" w:rsidRDefault="00630F85" w:rsidP="006C113D">
    <w:pPr>
      <w:autoSpaceDE w:val="0"/>
      <w:autoSpaceDN w:val="0"/>
      <w:adjustRightInd w:val="0"/>
      <w:spacing w:before="120" w:after="120" w:line="360" w:lineRule="auto"/>
      <w:rPr>
        <w:rFonts w:ascii="Times New Roman" w:hAnsi="Times New Roman" w:cs="Times New Roman"/>
        <w:b/>
        <w:color w:val="000000"/>
        <w:sz w:val="24"/>
        <w:szCs w:val="24"/>
      </w:rPr>
    </w:pPr>
    <w:r w:rsidRPr="00110BE8">
      <w:rPr>
        <w:rFonts w:ascii="Times New Roman" w:hAnsi="Times New Roman" w:cs="Times New Roman"/>
        <w:b/>
        <w:color w:val="000000"/>
        <w:sz w:val="24"/>
        <w:szCs w:val="24"/>
      </w:rPr>
      <w:t xml:space="preserve">SMT1179 </w:t>
    </w:r>
    <w:r w:rsidR="006C113D" w:rsidRPr="00110BE8">
      <w:rPr>
        <w:rFonts w:ascii="Times New Roman" w:hAnsi="Times New Roman" w:cs="Times New Roman"/>
        <w:b/>
        <w:color w:val="000000"/>
        <w:sz w:val="24"/>
        <w:szCs w:val="24"/>
      </w:rPr>
      <w:t>DOKU OKSİJENİZASYON SENSÖRÜ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FB8B39"/>
    <w:multiLevelType w:val="singleLevel"/>
    <w:tmpl w:val="8AFB8B3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F58D1ED"/>
    <w:multiLevelType w:val="multilevel"/>
    <w:tmpl w:val="BF58D1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C60A1"/>
    <w:multiLevelType w:val="multilevel"/>
    <w:tmpl w:val="7D12A5D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D420C8"/>
    <w:multiLevelType w:val="hybridMultilevel"/>
    <w:tmpl w:val="7F7E7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54267"/>
    <w:multiLevelType w:val="hybridMultilevel"/>
    <w:tmpl w:val="946EC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2163C6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94806"/>
    <w:multiLevelType w:val="hybridMultilevel"/>
    <w:tmpl w:val="C6F688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73225"/>
    <w:multiLevelType w:val="hybridMultilevel"/>
    <w:tmpl w:val="09683A6A"/>
    <w:lvl w:ilvl="0" w:tplc="FF9A4BD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C072F4"/>
    <w:multiLevelType w:val="hybridMultilevel"/>
    <w:tmpl w:val="8EFE2840"/>
    <w:lvl w:ilvl="0" w:tplc="617EB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"/>
  </w:num>
  <w:num w:numId="6">
    <w:abstractNumId w:val="3"/>
  </w:num>
  <w:num w:numId="7">
    <w:abstractNumId w:val="16"/>
  </w:num>
  <w:num w:numId="8">
    <w:abstractNumId w:val="15"/>
  </w:num>
  <w:num w:numId="9">
    <w:abstractNumId w:val="8"/>
  </w:num>
  <w:num w:numId="10">
    <w:abstractNumId w:val="17"/>
  </w:num>
  <w:num w:numId="11">
    <w:abstractNumId w:val="9"/>
  </w:num>
  <w:num w:numId="12">
    <w:abstractNumId w:val="13"/>
  </w:num>
  <w:num w:numId="13">
    <w:abstractNumId w:val="11"/>
  </w:num>
  <w:num w:numId="14">
    <w:abstractNumId w:val="18"/>
  </w:num>
  <w:num w:numId="15">
    <w:abstractNumId w:val="19"/>
  </w:num>
  <w:num w:numId="16">
    <w:abstractNumId w:val="1"/>
  </w:num>
  <w:num w:numId="17">
    <w:abstractNumId w:val="0"/>
  </w:num>
  <w:num w:numId="18">
    <w:abstractNumId w:val="12"/>
  </w:num>
  <w:num w:numId="19">
    <w:abstractNumId w:val="10"/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7D1"/>
    <w:rsid w:val="000D04A5"/>
    <w:rsid w:val="00104579"/>
    <w:rsid w:val="00110BE8"/>
    <w:rsid w:val="00111054"/>
    <w:rsid w:val="00152C36"/>
    <w:rsid w:val="00162892"/>
    <w:rsid w:val="0017073F"/>
    <w:rsid w:val="00194192"/>
    <w:rsid w:val="00195FEB"/>
    <w:rsid w:val="001B3723"/>
    <w:rsid w:val="00207EAA"/>
    <w:rsid w:val="002618E3"/>
    <w:rsid w:val="00270041"/>
    <w:rsid w:val="002858A7"/>
    <w:rsid w:val="002B66F4"/>
    <w:rsid w:val="002F1A00"/>
    <w:rsid w:val="00311837"/>
    <w:rsid w:val="00316D31"/>
    <w:rsid w:val="00331203"/>
    <w:rsid w:val="00386DB2"/>
    <w:rsid w:val="003904DE"/>
    <w:rsid w:val="003B2FE6"/>
    <w:rsid w:val="003C1F90"/>
    <w:rsid w:val="003C5FAC"/>
    <w:rsid w:val="00400B44"/>
    <w:rsid w:val="00407554"/>
    <w:rsid w:val="00445ABB"/>
    <w:rsid w:val="004922D2"/>
    <w:rsid w:val="004B7494"/>
    <w:rsid w:val="004D3C6B"/>
    <w:rsid w:val="0050494E"/>
    <w:rsid w:val="00504CA6"/>
    <w:rsid w:val="00527573"/>
    <w:rsid w:val="005506A6"/>
    <w:rsid w:val="005C0D2F"/>
    <w:rsid w:val="005E254C"/>
    <w:rsid w:val="005E426C"/>
    <w:rsid w:val="0060330E"/>
    <w:rsid w:val="0062144A"/>
    <w:rsid w:val="00623BD5"/>
    <w:rsid w:val="00630F85"/>
    <w:rsid w:val="006C113D"/>
    <w:rsid w:val="006E2F75"/>
    <w:rsid w:val="006E7210"/>
    <w:rsid w:val="007201AA"/>
    <w:rsid w:val="00747A9B"/>
    <w:rsid w:val="0076378F"/>
    <w:rsid w:val="007920EC"/>
    <w:rsid w:val="007A2B28"/>
    <w:rsid w:val="007C0463"/>
    <w:rsid w:val="007E6375"/>
    <w:rsid w:val="007F7A06"/>
    <w:rsid w:val="008809A1"/>
    <w:rsid w:val="00936492"/>
    <w:rsid w:val="009904A3"/>
    <w:rsid w:val="009944A2"/>
    <w:rsid w:val="009C68E7"/>
    <w:rsid w:val="009D471F"/>
    <w:rsid w:val="00A0594E"/>
    <w:rsid w:val="00A24639"/>
    <w:rsid w:val="00A76582"/>
    <w:rsid w:val="00A92869"/>
    <w:rsid w:val="00B149FE"/>
    <w:rsid w:val="00B2517C"/>
    <w:rsid w:val="00B3112B"/>
    <w:rsid w:val="00BA3150"/>
    <w:rsid w:val="00BA46C7"/>
    <w:rsid w:val="00BC55A8"/>
    <w:rsid w:val="00BD6076"/>
    <w:rsid w:val="00BE7614"/>
    <w:rsid w:val="00BF4EE4"/>
    <w:rsid w:val="00BF5AAE"/>
    <w:rsid w:val="00C32153"/>
    <w:rsid w:val="00C339D7"/>
    <w:rsid w:val="00C60CF3"/>
    <w:rsid w:val="00D21078"/>
    <w:rsid w:val="00D42AB9"/>
    <w:rsid w:val="00D6472D"/>
    <w:rsid w:val="00DB04E5"/>
    <w:rsid w:val="00DD69A1"/>
    <w:rsid w:val="00DD6A55"/>
    <w:rsid w:val="00DE3FAB"/>
    <w:rsid w:val="00E04CAF"/>
    <w:rsid w:val="00ED3775"/>
    <w:rsid w:val="00F12696"/>
    <w:rsid w:val="00F14D9B"/>
    <w:rsid w:val="00F33D29"/>
    <w:rsid w:val="00F46BAB"/>
    <w:rsid w:val="00F61F07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D904-8993-4880-916A-0DD843BD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2</cp:revision>
  <cp:lastPrinted>2025-11-26T11:05:00Z</cp:lastPrinted>
  <dcterms:created xsi:type="dcterms:W3CDTF">2026-03-24T07:23:00Z</dcterms:created>
  <dcterms:modified xsi:type="dcterms:W3CDTF">2026-03-24T07:23:00Z</dcterms:modified>
</cp:coreProperties>
</file>