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445"/>
      </w:tblGrid>
      <w:tr w:rsidR="004B7494" w:rsidRPr="00941207" w14:paraId="69FBC0F3" w14:textId="77777777" w:rsidTr="005C15BC">
        <w:trPr>
          <w:trHeight w:val="1026"/>
        </w:trPr>
        <w:tc>
          <w:tcPr>
            <w:tcW w:w="1395" w:type="dxa"/>
          </w:tcPr>
          <w:p w14:paraId="1820956C" w14:textId="77777777" w:rsidR="004B7494" w:rsidRPr="00941207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9412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445" w:type="dxa"/>
            <w:shd w:val="clear" w:color="auto" w:fill="auto"/>
          </w:tcPr>
          <w:p w14:paraId="35110BBA" w14:textId="77777777" w:rsidR="00311837" w:rsidRPr="00941207" w:rsidRDefault="00B149FE" w:rsidP="004F1AEA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Pulmoner arter kateterizasyonu gerektirmeden sürekli kardiyak debi ve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hemodinamik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takip yap</w:t>
            </w:r>
            <w:r w:rsidR="005B0BB7">
              <w:rPr>
                <w:rFonts w:ascii="Times New Roman" w:hAnsi="Times New Roman" w:cs="Times New Roman"/>
                <w:sz w:val="24"/>
                <w:szCs w:val="24"/>
              </w:rPr>
              <w:t>mak için tasarlanmış olmalıdır.</w:t>
            </w:r>
          </w:p>
        </w:tc>
      </w:tr>
      <w:tr w:rsidR="004B7494" w:rsidRPr="00941207" w14:paraId="5859FC20" w14:textId="77777777" w:rsidTr="005C15BC">
        <w:trPr>
          <w:trHeight w:val="1640"/>
        </w:trPr>
        <w:tc>
          <w:tcPr>
            <w:tcW w:w="1395" w:type="dxa"/>
          </w:tcPr>
          <w:p w14:paraId="7A261712" w14:textId="77777777" w:rsidR="004B7494" w:rsidRPr="00941207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12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225003DA" w14:textId="77777777" w:rsidR="004B7494" w:rsidRPr="00941207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14:paraId="72B094D7" w14:textId="77777777" w:rsidR="00B149FE" w:rsidRPr="00941207" w:rsidRDefault="002C1C1B" w:rsidP="004F1AEA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970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149FE" w:rsidRPr="00941207">
              <w:rPr>
                <w:rFonts w:ascii="Times New Roman" w:hAnsi="Times New Roman" w:cs="Times New Roman"/>
                <w:sz w:val="24"/>
                <w:szCs w:val="24"/>
              </w:rPr>
              <w:t>onitorizasyon</w:t>
            </w:r>
            <w:proofErr w:type="spellEnd"/>
            <w:r w:rsidR="00B149FE"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kit </w:t>
            </w:r>
            <w:proofErr w:type="spellStart"/>
            <w:r w:rsidR="00B149FE" w:rsidRPr="00941207">
              <w:rPr>
                <w:rFonts w:ascii="Times New Roman" w:hAnsi="Times New Roman" w:cs="Times New Roman"/>
                <w:sz w:val="24"/>
                <w:szCs w:val="24"/>
              </w:rPr>
              <w:t>enjektat</w:t>
            </w:r>
            <w:proofErr w:type="spellEnd"/>
            <w:r w:rsidR="00B149FE"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ısı sensörü veya tekli basınç izleme seti </w:t>
            </w:r>
            <w:r w:rsidR="00D351DA" w:rsidRPr="002D1BE8">
              <w:rPr>
                <w:rFonts w:ascii="Times New Roman" w:hAnsi="Times New Roman" w:cs="Times New Roman"/>
                <w:sz w:val="24"/>
                <w:szCs w:val="24"/>
              </w:rPr>
              <w:t xml:space="preserve">veya kardiyak output ölçüm sensörü </w:t>
            </w:r>
            <w:r w:rsidR="00B149FE" w:rsidRPr="002D1BE8">
              <w:rPr>
                <w:rFonts w:ascii="Times New Roman" w:hAnsi="Times New Roman" w:cs="Times New Roman"/>
                <w:sz w:val="24"/>
                <w:szCs w:val="24"/>
              </w:rPr>
              <w:t>içermelidir</w:t>
            </w:r>
            <w:r w:rsidR="00B149FE" w:rsidRPr="00941207">
              <w:rPr>
                <w:rFonts w:ascii="Times New Roman" w:hAnsi="Times New Roman" w:cs="Times New Roman"/>
                <w:sz w:val="24"/>
                <w:szCs w:val="24"/>
              </w:rPr>
              <w:t>. Ayrıca basınç setinin konnektörü olmalı ve bu konnektör cihaza ait kabloya uyumlu olmalıdır</w:t>
            </w:r>
            <w:r w:rsidR="0096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738" w:rsidRPr="0007755D">
              <w:rPr>
                <w:rFonts w:ascii="Times New Roman" w:hAnsi="Times New Roman" w:cs="Times New Roman"/>
                <w:sz w:val="24"/>
                <w:szCs w:val="24"/>
              </w:rPr>
              <w:t>veya tek bir kablo ile hastabaşı monitörüne bağlanabilmelidir</w:t>
            </w:r>
            <w:r w:rsidR="00B149FE" w:rsidRPr="0094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EF2"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5BC" w:rsidRPr="0094120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D7EF2" w:rsidRPr="00941207">
              <w:rPr>
                <w:rFonts w:ascii="Times New Roman" w:hAnsi="Times New Roman" w:cs="Times New Roman"/>
                <w:sz w:val="24"/>
                <w:szCs w:val="24"/>
              </w:rPr>
              <w:t>ekli</w:t>
            </w:r>
            <w:r w:rsidR="005C15BC"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EF2" w:rsidRPr="00941207">
              <w:rPr>
                <w:rFonts w:ascii="Times New Roman" w:hAnsi="Times New Roman" w:cs="Times New Roman"/>
                <w:sz w:val="24"/>
                <w:szCs w:val="24"/>
              </w:rPr>
              <w:t>basınç seti ile hasta başı monitöründen cihaza uyumlu kablo verilerek verileri gösterebilmelidir</w:t>
            </w:r>
            <w:r w:rsidR="0096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738" w:rsidRPr="0007755D">
              <w:rPr>
                <w:rFonts w:ascii="Times New Roman" w:hAnsi="Times New Roman" w:cs="Times New Roman"/>
                <w:sz w:val="24"/>
                <w:szCs w:val="24"/>
              </w:rPr>
              <w:t>veya hastabaşı monitöründen verileri alabilmek için uygun kablo verilmelidir</w:t>
            </w:r>
            <w:r w:rsidR="00B33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4AE35A" w14:textId="77777777" w:rsidR="00970FEA" w:rsidRPr="00966738" w:rsidRDefault="00970FEA" w:rsidP="00966738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B149FE"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9FE" w:rsidRPr="00941207">
              <w:rPr>
                <w:rFonts w:ascii="Times New Roman" w:hAnsi="Times New Roman" w:cs="Times New Roman"/>
                <w:sz w:val="24"/>
                <w:szCs w:val="24"/>
              </w:rPr>
              <w:t>femoral</w:t>
            </w:r>
            <w:proofErr w:type="spellEnd"/>
            <w:r w:rsidR="00B149FE"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arter, </w:t>
            </w:r>
            <w:proofErr w:type="spellStart"/>
            <w:r w:rsidR="00B149FE" w:rsidRPr="00941207">
              <w:rPr>
                <w:rFonts w:ascii="Times New Roman" w:hAnsi="Times New Roman" w:cs="Times New Roman"/>
                <w:sz w:val="24"/>
                <w:szCs w:val="24"/>
              </w:rPr>
              <w:t>brakial</w:t>
            </w:r>
            <w:proofErr w:type="spellEnd"/>
            <w:r w:rsidR="00B149FE"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arter ve </w:t>
            </w:r>
            <w:proofErr w:type="spellStart"/>
            <w:r w:rsidR="00B149FE" w:rsidRPr="00941207">
              <w:rPr>
                <w:rFonts w:ascii="Times New Roman" w:hAnsi="Times New Roman" w:cs="Times New Roman"/>
                <w:sz w:val="24"/>
                <w:szCs w:val="24"/>
              </w:rPr>
              <w:t>radial</w:t>
            </w:r>
            <w:proofErr w:type="spellEnd"/>
            <w:r w:rsidR="00B149FE"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arter </w:t>
            </w:r>
            <w:proofErr w:type="spellStart"/>
            <w:r w:rsidR="00B149FE" w:rsidRPr="00941207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B149FE"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seçenekleri olmalıdır</w:t>
            </w:r>
            <w:r w:rsidR="000D7EF2"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veya arter hattından tekli basınç kit</w:t>
            </w:r>
            <w:r w:rsidR="00D351DA">
              <w:rPr>
                <w:rFonts w:ascii="Times New Roman" w:hAnsi="Times New Roman" w:cs="Times New Roman"/>
                <w:sz w:val="24"/>
                <w:szCs w:val="24"/>
              </w:rPr>
              <w:t xml:space="preserve">i ile kullanıma uygun olmalıdır </w:t>
            </w:r>
            <w:r w:rsidR="00D351DA" w:rsidRPr="002D1BE8">
              <w:rPr>
                <w:rFonts w:ascii="Times New Roman" w:hAnsi="Times New Roman" w:cs="Times New Roman"/>
                <w:sz w:val="24"/>
                <w:szCs w:val="24"/>
              </w:rPr>
              <w:t xml:space="preserve">veya herhangi bir arter hattına bağlanabilen </w:t>
            </w:r>
            <w:proofErr w:type="spellStart"/>
            <w:r w:rsidR="00D351DA" w:rsidRPr="002D1BE8">
              <w:rPr>
                <w:rFonts w:ascii="Times New Roman" w:hAnsi="Times New Roman" w:cs="Times New Roman"/>
                <w:sz w:val="24"/>
                <w:szCs w:val="24"/>
              </w:rPr>
              <w:t>sensör</w:t>
            </w:r>
            <w:proofErr w:type="spellEnd"/>
            <w:r w:rsidR="00D351DA" w:rsidRPr="002D1BE8">
              <w:rPr>
                <w:rFonts w:ascii="Times New Roman" w:hAnsi="Times New Roman" w:cs="Times New Roman"/>
                <w:sz w:val="24"/>
                <w:szCs w:val="24"/>
              </w:rPr>
              <w:t xml:space="preserve"> özelliğinde </w:t>
            </w:r>
            <w:r w:rsidR="00966738" w:rsidRPr="0007755D">
              <w:rPr>
                <w:rFonts w:ascii="Times New Roman" w:hAnsi="Times New Roman" w:cs="Times New Roman"/>
                <w:sz w:val="24"/>
                <w:szCs w:val="24"/>
              </w:rPr>
              <w:t>veya hasta başı monitörüne ( verileri alabilmek için ) tek bir kablo ile bağlanabilir özellikte</w:t>
            </w:r>
            <w:r w:rsidR="00966738" w:rsidRPr="00966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1DA" w:rsidRPr="00966738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4AC09477" w14:textId="77777777" w:rsidR="00532501" w:rsidRDefault="00970FEA" w:rsidP="003027F4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içermemelidir.</w:t>
            </w:r>
            <w:r w:rsidR="00532501"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00FF97" w14:textId="5D1C34E8" w:rsidR="003D47B0" w:rsidRPr="003027F4" w:rsidRDefault="00532501" w:rsidP="003027F4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less-invazive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transpulmoner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termodilüsyon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teknolojisi vey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lityumdilisyon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puls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kontür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analizi teknolojisi ile çalışmakta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olan çeşitleri olmalıdır.</w:t>
            </w:r>
          </w:p>
        </w:tc>
      </w:tr>
      <w:tr w:rsidR="00B7148F" w:rsidRPr="00941207" w14:paraId="4CBF6901" w14:textId="77777777" w:rsidTr="005C15BC">
        <w:trPr>
          <w:trHeight w:val="1640"/>
        </w:trPr>
        <w:tc>
          <w:tcPr>
            <w:tcW w:w="1395" w:type="dxa"/>
          </w:tcPr>
          <w:p w14:paraId="4267EDF3" w14:textId="77777777" w:rsidR="00B7148F" w:rsidRPr="00941207" w:rsidRDefault="00B7148F" w:rsidP="00B7148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12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7DBC18B0" w14:textId="77777777" w:rsidR="00B7148F" w:rsidRPr="00941207" w:rsidRDefault="00B7148F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14:paraId="30DFB82F" w14:textId="77777777" w:rsidR="00B7148F" w:rsidRPr="00941207" w:rsidRDefault="00B7148F" w:rsidP="00B714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ile verilecek </w:t>
            </w:r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cih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less-invazive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transpulmoner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termodilüsyon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teknolojisi vey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lityumdilisyon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puls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kontür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analizi teknolojisi ile çalışmakta ve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pulmoner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arter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kateterizasyonu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gerektirmeden sürekli kardiyak debi ve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hemodinamik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takip yapabilmelidir. </w:t>
            </w:r>
          </w:p>
          <w:p w14:paraId="340C08EE" w14:textId="05814D75" w:rsidR="00B7148F" w:rsidRDefault="00B7148F" w:rsidP="00B7148F">
            <w:pPr>
              <w:numPr>
                <w:ilvl w:val="0"/>
                <w:numId w:val="19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ardiyak debi ölçümünün, yanında ITBV (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Intra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Thoracic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Blood Volume) değeri veya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Arteriyel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Elastans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) değeri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EF4">
              <w:rPr>
                <w:rFonts w:ascii="Times New Roman" w:hAnsi="Times New Roman" w:cs="Times New Roman"/>
                <w:sz w:val="24"/>
                <w:szCs w:val="24"/>
              </w:rPr>
              <w:t>veya PPV (</w:t>
            </w:r>
            <w:proofErr w:type="spellStart"/>
            <w:r w:rsidRPr="00455EF4">
              <w:rPr>
                <w:rFonts w:ascii="Times New Roman" w:hAnsi="Times New Roman" w:cs="Times New Roman"/>
                <w:sz w:val="24"/>
                <w:szCs w:val="24"/>
              </w:rPr>
              <w:t>Pulse</w:t>
            </w:r>
            <w:proofErr w:type="spellEnd"/>
            <w:r w:rsidRPr="0045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EF4"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  <w:proofErr w:type="spellEnd"/>
            <w:r w:rsidRPr="0045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EF4">
              <w:rPr>
                <w:rFonts w:ascii="Times New Roman" w:hAnsi="Times New Roman" w:cs="Times New Roman"/>
                <w:sz w:val="24"/>
                <w:szCs w:val="24"/>
              </w:rPr>
              <w:t>Variation</w:t>
            </w:r>
            <w:proofErr w:type="spellEnd"/>
            <w:r w:rsidRPr="00455EF4">
              <w:rPr>
                <w:rFonts w:ascii="Times New Roman" w:hAnsi="Times New Roman" w:cs="Times New Roman"/>
                <w:sz w:val="24"/>
                <w:szCs w:val="24"/>
              </w:rPr>
              <w:t>) değeri</w:t>
            </w:r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  ile hastanın volüm durumu hakkında hekime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CVP'den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daha güvenilir bir indikatör sunmalıdır.</w:t>
            </w:r>
          </w:p>
        </w:tc>
      </w:tr>
      <w:tr w:rsidR="00B339C6" w:rsidRPr="00941207" w14:paraId="3AB229BC" w14:textId="77777777" w:rsidTr="005C15BC">
        <w:trPr>
          <w:trHeight w:val="1640"/>
        </w:trPr>
        <w:tc>
          <w:tcPr>
            <w:tcW w:w="1395" w:type="dxa"/>
          </w:tcPr>
          <w:p w14:paraId="0F2A4148" w14:textId="77777777" w:rsidR="00B339C6" w:rsidRPr="00941207" w:rsidRDefault="00B339C6" w:rsidP="00B339C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12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63170F9E" w14:textId="77777777" w:rsidR="00B339C6" w:rsidRPr="00941207" w:rsidRDefault="00B339C6" w:rsidP="00B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14:paraId="189008C8" w14:textId="7B2DCCF1" w:rsidR="00B339C6" w:rsidRDefault="00B7148F" w:rsidP="00B714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8F">
              <w:rPr>
                <w:rFonts w:ascii="Times New Roman" w:hAnsi="Times New Roman" w:cs="Times New Roman"/>
                <w:sz w:val="24"/>
                <w:szCs w:val="24"/>
              </w:rPr>
              <w:t>Ürün,</w:t>
            </w:r>
            <w:r w:rsidR="00886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48F">
              <w:rPr>
                <w:rFonts w:ascii="Times New Roman" w:hAnsi="Times New Roman" w:cs="Times New Roman"/>
                <w:sz w:val="24"/>
                <w:szCs w:val="24"/>
              </w:rPr>
              <w:t>seldinger</w:t>
            </w:r>
            <w:proofErr w:type="spellEnd"/>
            <w:r w:rsidRPr="00B7148F">
              <w:rPr>
                <w:rFonts w:ascii="Times New Roman" w:hAnsi="Times New Roman" w:cs="Times New Roman"/>
                <w:sz w:val="24"/>
                <w:szCs w:val="24"/>
              </w:rPr>
              <w:t xml:space="preserve"> tekniği ile arterlerden yerleştirilerek kullanılabilmelidir veya </w:t>
            </w:r>
            <w:proofErr w:type="spellStart"/>
            <w:r w:rsidRPr="00B7148F">
              <w:rPr>
                <w:rFonts w:ascii="Times New Roman" w:hAnsi="Times New Roman" w:cs="Times New Roman"/>
                <w:sz w:val="24"/>
                <w:szCs w:val="24"/>
              </w:rPr>
              <w:t>seldinger</w:t>
            </w:r>
            <w:proofErr w:type="spellEnd"/>
            <w:r w:rsidRPr="00B7148F">
              <w:rPr>
                <w:rFonts w:ascii="Times New Roman" w:hAnsi="Times New Roman" w:cs="Times New Roman"/>
                <w:sz w:val="24"/>
                <w:szCs w:val="24"/>
              </w:rPr>
              <w:t xml:space="preserve"> tekniğine ihtiyaç duymadan hasta başı monitörü veya arter basınç hattı üzerinden ölçüm yapabilmelidir.</w:t>
            </w:r>
          </w:p>
          <w:p w14:paraId="726A5979" w14:textId="77777777" w:rsidR="00B7148F" w:rsidRPr="005B0BB7" w:rsidRDefault="00B7148F" w:rsidP="00B714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5B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0BB7">
              <w:rPr>
                <w:rFonts w:ascii="Times New Roman" w:hAnsi="Times New Roman" w:cs="Times New Roman"/>
                <w:sz w:val="24"/>
                <w:szCs w:val="24"/>
              </w:rPr>
              <w:t>şağıdaki parametreleri kısa sürede elde edebilmelidir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F7603A" w14:textId="77777777" w:rsidR="00B7148F" w:rsidRPr="005B0BB7" w:rsidRDefault="00B7148F" w:rsidP="00B714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2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BB7">
              <w:rPr>
                <w:rFonts w:ascii="Times New Roman" w:hAnsi="Times New Roman" w:cs="Times New Roman"/>
                <w:b/>
                <w:sz w:val="24"/>
                <w:szCs w:val="24"/>
              </w:rPr>
              <w:t>Transpulmoner</w:t>
            </w:r>
            <w:proofErr w:type="spellEnd"/>
            <w:r w:rsidRPr="005B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BB7">
              <w:rPr>
                <w:rFonts w:ascii="Times New Roman" w:hAnsi="Times New Roman" w:cs="Times New Roman"/>
                <w:b/>
                <w:sz w:val="24"/>
                <w:szCs w:val="24"/>
              </w:rPr>
              <w:t>termodilüsyon</w:t>
            </w:r>
            <w:proofErr w:type="spellEnd"/>
            <w:r w:rsidRPr="005B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teknolojisi veya </w:t>
            </w:r>
            <w:proofErr w:type="spellStart"/>
            <w:r w:rsidRPr="005B0BB7">
              <w:rPr>
                <w:rFonts w:ascii="Times New Roman" w:hAnsi="Times New Roman" w:cs="Times New Roman"/>
                <w:b/>
                <w:sz w:val="24"/>
                <w:szCs w:val="24"/>
              </w:rPr>
              <w:t>lityumdilisyon</w:t>
            </w:r>
            <w:proofErr w:type="spellEnd"/>
            <w:r w:rsidRPr="005B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teknolojisi ölçüm parametreleri:</w:t>
            </w:r>
          </w:p>
          <w:p w14:paraId="51339937" w14:textId="77777777" w:rsidR="00B7148F" w:rsidRPr="00941207" w:rsidRDefault="00B7148F" w:rsidP="00B7148F">
            <w:pPr>
              <w:spacing w:before="120" w:after="120" w:line="360" w:lineRule="auto"/>
              <w:ind w:left="489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CO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  <w:proofErr w:type="spellEnd"/>
          </w:p>
          <w:p w14:paraId="4389AE78" w14:textId="77777777" w:rsidR="00B7148F" w:rsidRPr="00941207" w:rsidRDefault="00B7148F" w:rsidP="00B7148F">
            <w:pPr>
              <w:spacing w:before="120" w:after="120" w:line="360" w:lineRule="auto"/>
              <w:ind w:left="489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SV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Volume</w:t>
            </w:r>
          </w:p>
          <w:p w14:paraId="13F7031E" w14:textId="77777777" w:rsidR="00B7148F" w:rsidRPr="00941207" w:rsidRDefault="00B7148F" w:rsidP="00B7148F">
            <w:pPr>
              <w:spacing w:before="120" w:after="120" w:line="360" w:lineRule="auto"/>
              <w:ind w:left="489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DO2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Oxygen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Delivery</w:t>
            </w:r>
          </w:p>
          <w:p w14:paraId="063F615B" w14:textId="77777777" w:rsidR="00B7148F" w:rsidRPr="00941207" w:rsidRDefault="00B7148F" w:rsidP="00B7148F">
            <w:pPr>
              <w:spacing w:before="120" w:after="120" w:line="360" w:lineRule="auto"/>
              <w:ind w:left="489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SVV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Volume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Variation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86902A" w14:textId="77777777" w:rsidR="00B7148F" w:rsidRPr="00941207" w:rsidRDefault="00B7148F" w:rsidP="00B7148F">
            <w:pPr>
              <w:spacing w:before="120" w:after="120" w:line="360" w:lineRule="auto"/>
              <w:ind w:left="489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PPV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Pulse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Variation</w:t>
            </w:r>
            <w:proofErr w:type="spellEnd"/>
          </w:p>
          <w:p w14:paraId="6D556642" w14:textId="77777777" w:rsidR="00B7148F" w:rsidRPr="00941207" w:rsidRDefault="00B7148F" w:rsidP="00B7148F">
            <w:pPr>
              <w:spacing w:before="120" w:after="120" w:line="360" w:lineRule="auto"/>
              <w:ind w:left="489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HRV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Rate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Variation</w:t>
            </w:r>
            <w:proofErr w:type="spellEnd"/>
          </w:p>
          <w:p w14:paraId="0040EB5D" w14:textId="77777777" w:rsidR="00B7148F" w:rsidRPr="00941207" w:rsidRDefault="00B7148F" w:rsidP="00B7148F">
            <w:pPr>
              <w:spacing w:before="120" w:after="120" w:line="360" w:lineRule="auto"/>
              <w:ind w:left="489" w:right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SVRI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Systemic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Vasucal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>Resistance</w:t>
            </w:r>
            <w:proofErr w:type="spellEnd"/>
            <w:r w:rsidRPr="00941207">
              <w:rPr>
                <w:rFonts w:ascii="Times New Roman" w:hAnsi="Times New Roman" w:cs="Times New Roman"/>
                <w:sz w:val="24"/>
                <w:szCs w:val="24"/>
              </w:rPr>
              <w:t xml:space="preserve"> Index</w:t>
            </w:r>
          </w:p>
          <w:p w14:paraId="10E28F82" w14:textId="77777777" w:rsidR="00B7148F" w:rsidRPr="002D1BE8" w:rsidRDefault="00B7148F" w:rsidP="00B7148F">
            <w:pPr>
              <w:pStyle w:val="ListeParagraf"/>
              <w:numPr>
                <w:ilvl w:val="0"/>
                <w:numId w:val="1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right="2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BE8">
              <w:rPr>
                <w:rFonts w:ascii="Times New Roman" w:hAnsi="Times New Roman" w:cs="Times New Roman"/>
                <w:b/>
                <w:sz w:val="24"/>
                <w:szCs w:val="24"/>
              </w:rPr>
              <w:t>Puls</w:t>
            </w:r>
            <w:proofErr w:type="spellEnd"/>
            <w:r w:rsidRPr="002D1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1BE8">
              <w:rPr>
                <w:rFonts w:ascii="Times New Roman" w:hAnsi="Times New Roman" w:cs="Times New Roman"/>
                <w:b/>
                <w:sz w:val="24"/>
                <w:szCs w:val="24"/>
              </w:rPr>
              <w:t>kontür</w:t>
            </w:r>
            <w:proofErr w:type="spellEnd"/>
            <w:r w:rsidRPr="002D1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analizi ile ölçüm yöntemi </w:t>
            </w:r>
            <w:proofErr w:type="spellStart"/>
            <w:r w:rsidRPr="002D1BE8">
              <w:rPr>
                <w:rFonts w:ascii="Times New Roman" w:hAnsi="Times New Roman" w:cs="Times New Roman"/>
                <w:b/>
                <w:sz w:val="24"/>
                <w:szCs w:val="24"/>
              </w:rPr>
              <w:t>paremetreleri</w:t>
            </w:r>
            <w:proofErr w:type="spellEnd"/>
            <w:r w:rsidRPr="002D1B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EA82DC4" w14:textId="77777777" w:rsidR="00B7148F" w:rsidRDefault="00B7148F" w:rsidP="00B7148F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right="2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CCO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F0933D" w14:textId="77777777" w:rsidR="00B7148F" w:rsidRDefault="00B7148F" w:rsidP="00B7148F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right="2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Index)</w:t>
            </w:r>
          </w:p>
          <w:p w14:paraId="4C4D7F99" w14:textId="77777777" w:rsidR="00B7148F" w:rsidRDefault="00B7148F" w:rsidP="00B7148F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right="2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DO2 (Oksijen Sunum Değeri)</w:t>
            </w:r>
          </w:p>
          <w:p w14:paraId="5424F4E9" w14:textId="77777777" w:rsidR="00B7148F" w:rsidRDefault="00B7148F" w:rsidP="00B7148F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right="2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Volume)</w:t>
            </w:r>
          </w:p>
          <w:p w14:paraId="28D470CD" w14:textId="77777777" w:rsidR="00B7148F" w:rsidRDefault="00B7148F" w:rsidP="00B7148F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right="2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Volume Index)</w:t>
            </w:r>
          </w:p>
          <w:p w14:paraId="78F8405C" w14:textId="77777777" w:rsidR="00B7148F" w:rsidRDefault="00B7148F" w:rsidP="00B7148F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right="2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SVV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Volume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CA0C18" w14:textId="77777777" w:rsidR="00B7148F" w:rsidRDefault="00B7148F" w:rsidP="00B7148F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right="2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PPV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3EEC87" w14:textId="77777777" w:rsidR="00B7148F" w:rsidRDefault="00B7148F" w:rsidP="00B7148F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right="2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Systemic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Resistance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04E1E4" w14:textId="77777777" w:rsidR="00B7148F" w:rsidRDefault="00B7148F" w:rsidP="00B7148F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right="2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SVRI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Systemic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Vascular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Resistance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Index)</w:t>
            </w:r>
          </w:p>
          <w:p w14:paraId="0B5AC292" w14:textId="77777777" w:rsidR="00B7148F" w:rsidRDefault="00B7148F" w:rsidP="00B7148F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right="2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Arterial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E70D3E" w14:textId="77777777" w:rsidR="00B7148F" w:rsidRDefault="00B7148F" w:rsidP="00B7148F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right="2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Rate)</w:t>
            </w:r>
          </w:p>
          <w:p w14:paraId="41F3D1D3" w14:textId="77777777" w:rsidR="00B7148F" w:rsidRDefault="00B7148F" w:rsidP="00B7148F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right="2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Index)</w:t>
            </w:r>
          </w:p>
          <w:p w14:paraId="1546E9C2" w14:textId="77777777" w:rsidR="00B7148F" w:rsidRDefault="00B7148F" w:rsidP="00B7148F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right="2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CPO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CC8FB6" w14:textId="349A0F3A" w:rsidR="00B7148F" w:rsidRPr="00B7148F" w:rsidRDefault="00B7148F" w:rsidP="00B7148F">
            <w:pPr>
              <w:pStyle w:val="ListeParagraf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60" w:lineRule="auto"/>
              <w:ind w:right="215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48F">
              <w:rPr>
                <w:rFonts w:ascii="Times New Roman" w:hAnsi="Times New Roman" w:cs="Times New Roman"/>
                <w:sz w:val="24"/>
                <w:szCs w:val="24"/>
              </w:rPr>
              <w:t>Dpmax</w:t>
            </w:r>
            <w:proofErr w:type="spellEnd"/>
            <w:r w:rsidRPr="00B714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148F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proofErr w:type="spellEnd"/>
            <w:r w:rsidRPr="00B7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48F">
              <w:rPr>
                <w:rFonts w:ascii="Times New Roman" w:hAnsi="Times New Roman" w:cs="Times New Roman"/>
                <w:sz w:val="24"/>
                <w:szCs w:val="24"/>
              </w:rPr>
              <w:t>Ventricular</w:t>
            </w:r>
            <w:proofErr w:type="spellEnd"/>
            <w:r w:rsidRPr="00B71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48F">
              <w:rPr>
                <w:rFonts w:ascii="Times New Roman" w:hAnsi="Times New Roman" w:cs="Times New Roman"/>
                <w:sz w:val="24"/>
                <w:szCs w:val="24"/>
              </w:rPr>
              <w:t>Contractility</w:t>
            </w:r>
            <w:proofErr w:type="spellEnd"/>
            <w:r w:rsidRPr="00B714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39C6" w:rsidRPr="00941207" w14:paraId="54785589" w14:textId="77777777" w:rsidTr="005C15BC">
        <w:trPr>
          <w:trHeight w:val="1640"/>
        </w:trPr>
        <w:tc>
          <w:tcPr>
            <w:tcW w:w="1395" w:type="dxa"/>
          </w:tcPr>
          <w:p w14:paraId="5F1A0460" w14:textId="77777777" w:rsidR="00B339C6" w:rsidRPr="00941207" w:rsidRDefault="00B339C6" w:rsidP="00B339C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120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426AFF8" w14:textId="77777777" w:rsidR="00B339C6" w:rsidRPr="00941207" w:rsidRDefault="00B339C6" w:rsidP="00B339C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14:paraId="5B396F72" w14:textId="77777777" w:rsidR="004D4037" w:rsidRPr="00941207" w:rsidRDefault="004D4037" w:rsidP="00B7148F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120" w:after="120" w:line="360" w:lineRule="auto"/>
              <w:ind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41207">
              <w:rPr>
                <w:rFonts w:ascii="Times New Roman" w:eastAsia="Times New Roman" w:hAnsi="Times New Roman" w:cs="Times New Roman"/>
                <w:sz w:val="24"/>
                <w:szCs w:val="24"/>
              </w:rPr>
              <w:t>Ürün orijinal ambalajında, s</w:t>
            </w:r>
            <w:r w:rsidRPr="0094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teril</w:t>
            </w:r>
            <w:r w:rsidRPr="00941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tek kullanımlık </w:t>
            </w:r>
            <w:r w:rsidRPr="0094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olmalıdır.</w:t>
            </w:r>
          </w:p>
          <w:p w14:paraId="457544A7" w14:textId="77777777" w:rsidR="004D4037" w:rsidRPr="00941207" w:rsidRDefault="004D4037" w:rsidP="00B7148F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before="120" w:after="120" w:line="360" w:lineRule="auto"/>
              <w:ind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41207">
              <w:rPr>
                <w:rFonts w:ascii="Times New Roman" w:eastAsia="Times New Roman" w:hAnsi="Times New Roman" w:cs="Times New Roman"/>
                <w:sz w:val="24"/>
                <w:szCs w:val="24"/>
              </w:rPr>
              <w:t>Ürün</w:t>
            </w:r>
            <w:r w:rsidRPr="0094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sterililiteyi bozmadan açılabicek şekilde paketlenmiş olmalıdır.</w:t>
            </w:r>
          </w:p>
          <w:p w14:paraId="3ED78526" w14:textId="77777777" w:rsidR="00445D50" w:rsidRPr="006E32E5" w:rsidRDefault="00D63465" w:rsidP="00445D50">
            <w:pPr>
              <w:pStyle w:val="ListeParagraf"/>
              <w:shd w:val="clear" w:color="auto" w:fill="FFFFFF"/>
              <w:spacing w:before="120" w:after="120" w:line="360" w:lineRule="auto"/>
              <w:ind w:left="34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  <w:r w:rsidR="004D4037" w:rsidRPr="0094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ambalajı üzerinde son kullanma tarihi, UBB ve LOT bilgileri olmal</w:t>
            </w:r>
            <w:r w:rsidR="008B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</w:t>
            </w:r>
            <w:r w:rsidR="004D4037" w:rsidRPr="0094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dır</w:t>
            </w:r>
            <w:r w:rsidR="00445D50" w:rsidRPr="006E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6D1BCB68" w14:textId="77777777" w:rsidR="00445D50" w:rsidRDefault="00445D50" w:rsidP="00445D50">
            <w:pPr>
              <w:tabs>
                <w:tab w:val="left" w:pos="502"/>
              </w:tabs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55E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3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55E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 100 adet ölçüm seti karşılığında, uhdesi firmada kalacak şekilde cihaz kurumun kullanımına bırakılacaktır.</w:t>
            </w:r>
          </w:p>
          <w:p w14:paraId="5D88642F" w14:textId="4027FDFE" w:rsidR="00B339C6" w:rsidRPr="00941207" w:rsidRDefault="00445D50" w:rsidP="00B7148F">
            <w:pPr>
              <w:tabs>
                <w:tab w:val="left" w:pos="502"/>
              </w:tabs>
              <w:spacing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55A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34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.Cihazda çıkacak bir problemde</w:t>
            </w:r>
            <w:r w:rsidR="002359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mağduriyete yol açmayacak şekilde </w:t>
            </w:r>
            <w:r w:rsidR="00235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sağlık tesisinin bildiriminden itibaren en fazla yedi iş günü içinde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tarafından </w:t>
            </w:r>
            <w:r w:rsidR="00235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yenisi ile değişim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sağlanmalıdır.</w:t>
            </w:r>
          </w:p>
        </w:tc>
      </w:tr>
    </w:tbl>
    <w:p w14:paraId="27764947" w14:textId="77777777" w:rsidR="00331203" w:rsidRPr="00941207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41207" w:rsidSect="00B33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6EAF5" w14:textId="77777777" w:rsidR="00B94262" w:rsidRDefault="00B94262" w:rsidP="00B2517C">
      <w:pPr>
        <w:spacing w:after="0" w:line="240" w:lineRule="auto"/>
      </w:pPr>
      <w:r>
        <w:separator/>
      </w:r>
    </w:p>
  </w:endnote>
  <w:endnote w:type="continuationSeparator" w:id="0">
    <w:p w14:paraId="25096EE8" w14:textId="77777777" w:rsidR="00B94262" w:rsidRDefault="00B94262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C6125" w14:textId="77777777" w:rsidR="00B53213" w:rsidRDefault="00B532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69C1B" w14:textId="77777777" w:rsidR="00B53213" w:rsidRDefault="00B5321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B55B" w14:textId="77777777" w:rsidR="00B53213" w:rsidRDefault="00B532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5D8C5" w14:textId="77777777" w:rsidR="00B94262" w:rsidRDefault="00B94262" w:rsidP="00B2517C">
      <w:pPr>
        <w:spacing w:after="0" w:line="240" w:lineRule="auto"/>
      </w:pPr>
      <w:r>
        <w:separator/>
      </w:r>
    </w:p>
  </w:footnote>
  <w:footnote w:type="continuationSeparator" w:id="0">
    <w:p w14:paraId="5D290613" w14:textId="77777777" w:rsidR="00B94262" w:rsidRDefault="00B94262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D61AC" w14:textId="77777777" w:rsidR="00B53213" w:rsidRDefault="00B532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BA3" w14:textId="77777777" w:rsidR="00B339C6" w:rsidRDefault="00B339C6" w:rsidP="00B149FE">
    <w:pPr>
      <w:spacing w:after="0" w:line="360" w:lineRule="auto"/>
      <w:ind w:left="426" w:hanging="426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</w:p>
  <w:p w14:paraId="1C6BD442" w14:textId="77777777" w:rsidR="00B339C6" w:rsidRPr="000D7EF2" w:rsidRDefault="00B339C6" w:rsidP="00B149FE">
    <w:pPr>
      <w:spacing w:after="0" w:line="360" w:lineRule="auto"/>
      <w:ind w:left="426" w:hanging="426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14:paraId="6FBAABDC" w14:textId="77777777" w:rsidR="00B149FE" w:rsidRPr="000D7EF2" w:rsidRDefault="00B149FE" w:rsidP="00B149FE">
    <w:pPr>
      <w:spacing w:after="0" w:line="360" w:lineRule="auto"/>
      <w:ind w:left="426" w:hanging="426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0D7EF2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SMT1177 ARTERİYEL KARDİYAK OUTPUT SENSÖRÜ </w:t>
    </w:r>
  </w:p>
  <w:p w14:paraId="6760067D" w14:textId="77777777" w:rsidR="00B2517C" w:rsidRPr="002858A7" w:rsidRDefault="00B2517C" w:rsidP="002858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6EAFC" w14:textId="77777777" w:rsidR="00B53213" w:rsidRDefault="00B532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174D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54267"/>
    <w:multiLevelType w:val="hybridMultilevel"/>
    <w:tmpl w:val="946EC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C2163C6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84D"/>
    <w:multiLevelType w:val="hybridMultilevel"/>
    <w:tmpl w:val="736C6C9C"/>
    <w:lvl w:ilvl="0" w:tplc="33C69C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E043A"/>
    <w:multiLevelType w:val="hybridMultilevel"/>
    <w:tmpl w:val="CC5A3B4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81ABF"/>
    <w:multiLevelType w:val="hybridMultilevel"/>
    <w:tmpl w:val="B8CE5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73225"/>
    <w:multiLevelType w:val="hybridMultilevel"/>
    <w:tmpl w:val="09683A6A"/>
    <w:lvl w:ilvl="0" w:tplc="FF9A4BD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C072F4"/>
    <w:multiLevelType w:val="hybridMultilevel"/>
    <w:tmpl w:val="8EFE2840"/>
    <w:lvl w:ilvl="0" w:tplc="617EB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2"/>
  </w:num>
  <w:num w:numId="7">
    <w:abstractNumId w:val="14"/>
  </w:num>
  <w:num w:numId="8">
    <w:abstractNumId w:val="13"/>
  </w:num>
  <w:num w:numId="9">
    <w:abstractNumId w:val="5"/>
  </w:num>
  <w:num w:numId="10">
    <w:abstractNumId w:val="16"/>
  </w:num>
  <w:num w:numId="11">
    <w:abstractNumId w:val="6"/>
  </w:num>
  <w:num w:numId="12">
    <w:abstractNumId w:val="8"/>
  </w:num>
  <w:num w:numId="13">
    <w:abstractNumId w:val="7"/>
  </w:num>
  <w:num w:numId="14">
    <w:abstractNumId w:val="17"/>
  </w:num>
  <w:num w:numId="15">
    <w:abstractNumId w:val="18"/>
  </w:num>
  <w:num w:numId="16">
    <w:abstractNumId w:val="1"/>
  </w:num>
  <w:num w:numId="17">
    <w:abstractNumId w:val="12"/>
  </w:num>
  <w:num w:numId="18">
    <w:abstractNumId w:val="10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340E4"/>
    <w:rsid w:val="0007755D"/>
    <w:rsid w:val="000A611F"/>
    <w:rsid w:val="000D04A5"/>
    <w:rsid w:val="000D7EF2"/>
    <w:rsid w:val="00104579"/>
    <w:rsid w:val="0013051A"/>
    <w:rsid w:val="00181C77"/>
    <w:rsid w:val="00194192"/>
    <w:rsid w:val="00195FEB"/>
    <w:rsid w:val="00235955"/>
    <w:rsid w:val="002618E3"/>
    <w:rsid w:val="002858A7"/>
    <w:rsid w:val="002A166B"/>
    <w:rsid w:val="002B66F4"/>
    <w:rsid w:val="002C1C1B"/>
    <w:rsid w:val="002D1BE8"/>
    <w:rsid w:val="003027F4"/>
    <w:rsid w:val="00311837"/>
    <w:rsid w:val="00321101"/>
    <w:rsid w:val="00322393"/>
    <w:rsid w:val="00331203"/>
    <w:rsid w:val="003904DE"/>
    <w:rsid w:val="003D47B0"/>
    <w:rsid w:val="00411175"/>
    <w:rsid w:val="004212A7"/>
    <w:rsid w:val="00445ABB"/>
    <w:rsid w:val="00445D50"/>
    <w:rsid w:val="00455EF4"/>
    <w:rsid w:val="004A30F5"/>
    <w:rsid w:val="004B7494"/>
    <w:rsid w:val="004D1F8B"/>
    <w:rsid w:val="004D23CF"/>
    <w:rsid w:val="004D4037"/>
    <w:rsid w:val="004D6F09"/>
    <w:rsid w:val="004F1AEA"/>
    <w:rsid w:val="004F610F"/>
    <w:rsid w:val="005021B8"/>
    <w:rsid w:val="00527573"/>
    <w:rsid w:val="00532501"/>
    <w:rsid w:val="005439FD"/>
    <w:rsid w:val="00592E6A"/>
    <w:rsid w:val="005B0BB7"/>
    <w:rsid w:val="005C0D2F"/>
    <w:rsid w:val="005C15BC"/>
    <w:rsid w:val="005D69C8"/>
    <w:rsid w:val="005E254C"/>
    <w:rsid w:val="005E426C"/>
    <w:rsid w:val="0060330E"/>
    <w:rsid w:val="00656D8F"/>
    <w:rsid w:val="00665229"/>
    <w:rsid w:val="00680E48"/>
    <w:rsid w:val="006F543E"/>
    <w:rsid w:val="00747A9B"/>
    <w:rsid w:val="007920EC"/>
    <w:rsid w:val="007A1E66"/>
    <w:rsid w:val="007C0463"/>
    <w:rsid w:val="008809A1"/>
    <w:rsid w:val="00886FFD"/>
    <w:rsid w:val="008B7C9A"/>
    <w:rsid w:val="00936492"/>
    <w:rsid w:val="00941207"/>
    <w:rsid w:val="00966738"/>
    <w:rsid w:val="00970FEA"/>
    <w:rsid w:val="009904A3"/>
    <w:rsid w:val="00996691"/>
    <w:rsid w:val="00A0594E"/>
    <w:rsid w:val="00A76582"/>
    <w:rsid w:val="00AB10F7"/>
    <w:rsid w:val="00B11653"/>
    <w:rsid w:val="00B149FE"/>
    <w:rsid w:val="00B2517C"/>
    <w:rsid w:val="00B3300B"/>
    <w:rsid w:val="00B339C6"/>
    <w:rsid w:val="00B53213"/>
    <w:rsid w:val="00B7148F"/>
    <w:rsid w:val="00B7153A"/>
    <w:rsid w:val="00B94262"/>
    <w:rsid w:val="00BA3150"/>
    <w:rsid w:val="00BA6F51"/>
    <w:rsid w:val="00BB3256"/>
    <w:rsid w:val="00BD6076"/>
    <w:rsid w:val="00BF4EE4"/>
    <w:rsid w:val="00BF5AAE"/>
    <w:rsid w:val="00C33E24"/>
    <w:rsid w:val="00C45BE9"/>
    <w:rsid w:val="00C46805"/>
    <w:rsid w:val="00C60CF3"/>
    <w:rsid w:val="00CB779B"/>
    <w:rsid w:val="00D21078"/>
    <w:rsid w:val="00D351DA"/>
    <w:rsid w:val="00D63465"/>
    <w:rsid w:val="00D83D5E"/>
    <w:rsid w:val="00DE3FAB"/>
    <w:rsid w:val="00E3702E"/>
    <w:rsid w:val="00EB6990"/>
    <w:rsid w:val="00EC15DC"/>
    <w:rsid w:val="00ED3775"/>
    <w:rsid w:val="00F10739"/>
    <w:rsid w:val="00F31CFD"/>
    <w:rsid w:val="00F504FF"/>
    <w:rsid w:val="00F55A73"/>
    <w:rsid w:val="00F70CEA"/>
    <w:rsid w:val="00FB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6E51D"/>
  <w15:docId w15:val="{BB45273F-BFA2-4C02-89F7-E2279B0B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7E19-4939-461E-BFA9-0E906DE9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Hülya BULUT ADIYAMAN</cp:lastModifiedBy>
  <cp:revision>2</cp:revision>
  <dcterms:created xsi:type="dcterms:W3CDTF">2024-12-04T09:31:00Z</dcterms:created>
  <dcterms:modified xsi:type="dcterms:W3CDTF">2024-12-04T09:31:00Z</dcterms:modified>
</cp:coreProperties>
</file>